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11A110" w14:textId="07539098" w:rsidR="00575D3A" w:rsidRDefault="00575D3A" w:rsidP="00575D3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_Hlk3548187"/>
      <w:bookmarkStart w:id="1" w:name="_Toc508617208"/>
      <w:r>
        <w:rPr>
          <w:b/>
          <w:noProof/>
          <w:sz w:val="24"/>
        </w:rPr>
        <w:t xml:space="preserve">3GPP TSG-RAN4 Meeting #107 </w:t>
      </w:r>
      <w:fldSimple w:instr=" DOCPROPERTY  MtgTitle  \* MERGEFORMAT "/>
      <w:r>
        <w:rPr>
          <w:b/>
          <w:i/>
          <w:noProof/>
          <w:sz w:val="28"/>
        </w:rPr>
        <w:tab/>
      </w:r>
      <w:r w:rsidR="009C4545" w:rsidRPr="009C4545">
        <w:rPr>
          <w:b/>
          <w:i/>
          <w:noProof/>
          <w:sz w:val="28"/>
        </w:rPr>
        <w:t>R4-2309469</w:t>
      </w:r>
    </w:p>
    <w:p w14:paraId="2E5CB310" w14:textId="77777777" w:rsidR="00575D3A" w:rsidRDefault="00575D3A" w:rsidP="00575D3A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Incheon, Korea, 22th – 26</w:t>
      </w:r>
      <w:r w:rsidRPr="004B4919">
        <w:rPr>
          <w:b/>
          <w:noProof/>
          <w:sz w:val="24"/>
        </w:rPr>
        <w:t>th May 2023</w:t>
      </w:r>
    </w:p>
    <w:p w14:paraId="6B6FC1C9" w14:textId="77777777" w:rsidR="00E546BC" w:rsidRDefault="00E546BC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</w:p>
    <w:p w14:paraId="35952388" w14:textId="1C757354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Agenda item: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F2664C" w:rsidRPr="00F2664C">
        <w:rPr>
          <w:rFonts w:ascii="Arial" w:hAnsi="Arial" w:cs="Arial"/>
          <w:sz w:val="24"/>
          <w:szCs w:val="24"/>
        </w:rPr>
        <w:t>8.3.2</w:t>
      </w:r>
    </w:p>
    <w:p w14:paraId="35952389" w14:textId="77777777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Source: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347574" w:rsidRPr="00354167">
        <w:rPr>
          <w:rFonts w:ascii="Arial" w:hAnsi="Arial" w:cs="Arial"/>
          <w:sz w:val="24"/>
          <w:szCs w:val="24"/>
        </w:rPr>
        <w:t>Keysight Technologies</w:t>
      </w:r>
    </w:p>
    <w:p w14:paraId="3595238A" w14:textId="0D2AC52F" w:rsidR="00816C9D" w:rsidRPr="00354167" w:rsidRDefault="00816C9D" w:rsidP="00816C9D">
      <w:pPr>
        <w:tabs>
          <w:tab w:val="left" w:pos="2250"/>
        </w:tabs>
        <w:ind w:left="2160" w:hanging="2160"/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Title: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734D11">
        <w:rPr>
          <w:rFonts w:ascii="Arial" w:hAnsi="Arial" w:cs="Arial"/>
          <w:sz w:val="24"/>
          <w:szCs w:val="24"/>
        </w:rPr>
        <w:t xml:space="preserve">On Absolute Probe </w:t>
      </w:r>
      <w:r w:rsidR="00531E4B">
        <w:rPr>
          <w:rFonts w:ascii="Arial" w:hAnsi="Arial" w:cs="Arial"/>
          <w:sz w:val="24"/>
          <w:szCs w:val="24"/>
        </w:rPr>
        <w:t>Locations</w:t>
      </w:r>
      <w:r w:rsidR="00734D11">
        <w:rPr>
          <w:rFonts w:ascii="Arial" w:hAnsi="Arial" w:cs="Arial"/>
          <w:sz w:val="24"/>
          <w:szCs w:val="24"/>
        </w:rPr>
        <w:t xml:space="preserve"> for Multi</w:t>
      </w:r>
      <w:r w:rsidR="00A20BA5">
        <w:rPr>
          <w:rFonts w:ascii="Arial" w:hAnsi="Arial" w:cs="Arial"/>
          <w:sz w:val="24"/>
          <w:szCs w:val="24"/>
        </w:rPr>
        <w:t>-</w:t>
      </w:r>
      <w:r w:rsidR="00734D11">
        <w:rPr>
          <w:rFonts w:ascii="Arial" w:hAnsi="Arial" w:cs="Arial"/>
          <w:sz w:val="24"/>
          <w:szCs w:val="24"/>
        </w:rPr>
        <w:t>R</w:t>
      </w:r>
      <w:r w:rsidR="00A20BA5">
        <w:rPr>
          <w:rFonts w:ascii="Arial" w:hAnsi="Arial" w:cs="Arial"/>
          <w:sz w:val="24"/>
          <w:szCs w:val="24"/>
        </w:rPr>
        <w:t>x</w:t>
      </w:r>
      <w:r w:rsidR="006D449F">
        <w:rPr>
          <w:rFonts w:ascii="Arial" w:hAnsi="Arial" w:cs="Arial"/>
          <w:sz w:val="24"/>
          <w:szCs w:val="24"/>
        </w:rPr>
        <w:t xml:space="preserve"> Test</w:t>
      </w:r>
      <w:r w:rsidR="00683066">
        <w:rPr>
          <w:rFonts w:ascii="Arial" w:hAnsi="Arial" w:cs="Arial"/>
          <w:sz w:val="24"/>
          <w:szCs w:val="24"/>
        </w:rPr>
        <w:t>ing</w:t>
      </w:r>
    </w:p>
    <w:p w14:paraId="3595238B" w14:textId="7CF5A9B4" w:rsidR="00816C9D" w:rsidRPr="00354167" w:rsidRDefault="00816C9D" w:rsidP="00816C9D">
      <w:pPr>
        <w:tabs>
          <w:tab w:val="left" w:pos="2160"/>
        </w:tabs>
        <w:rPr>
          <w:rFonts w:ascii="Arial" w:hAnsi="Arial" w:cs="Arial"/>
          <w:b/>
          <w:sz w:val="24"/>
          <w:szCs w:val="24"/>
        </w:rPr>
      </w:pPr>
      <w:r w:rsidRPr="00354167">
        <w:rPr>
          <w:rFonts w:ascii="Arial" w:hAnsi="Arial" w:cs="Arial"/>
          <w:b/>
          <w:sz w:val="24"/>
          <w:szCs w:val="24"/>
        </w:rPr>
        <w:t>Document for:</w:t>
      </w:r>
      <w:r w:rsidRPr="00354167">
        <w:rPr>
          <w:rFonts w:ascii="Arial" w:hAnsi="Arial" w:cs="Arial"/>
          <w:b/>
          <w:sz w:val="24"/>
          <w:szCs w:val="24"/>
        </w:rPr>
        <w:tab/>
      </w:r>
      <w:r w:rsidR="00347BC5">
        <w:rPr>
          <w:rFonts w:ascii="Arial" w:hAnsi="Arial" w:cs="Arial"/>
          <w:sz w:val="24"/>
          <w:szCs w:val="24"/>
        </w:rPr>
        <w:t>Approval</w:t>
      </w:r>
    </w:p>
    <w:bookmarkEnd w:id="0"/>
    <w:p w14:paraId="79A676B7" w14:textId="77777777" w:rsidR="005E2166" w:rsidRDefault="005E2166" w:rsidP="00A2425C">
      <w:pPr>
        <w:pStyle w:val="Heading1"/>
        <w:ind w:left="0" w:firstLine="0"/>
      </w:pPr>
      <w:r w:rsidRPr="00647B25">
        <w:t>Introduction</w:t>
      </w:r>
    </w:p>
    <w:p w14:paraId="3595238D" w14:textId="76414D78" w:rsidR="000606FD" w:rsidRPr="00354167" w:rsidRDefault="000833ED" w:rsidP="005E2166">
      <w:pPr>
        <w:rPr>
          <w:rFonts w:eastAsia="Batang"/>
        </w:rPr>
      </w:pPr>
      <w:r w:rsidRPr="00354167">
        <w:rPr>
          <w:rFonts w:eastAsia="Batang"/>
        </w:rPr>
        <w:t>This contribution</w:t>
      </w:r>
      <w:r w:rsidR="006D449F">
        <w:rPr>
          <w:rFonts w:eastAsia="Batang"/>
        </w:rPr>
        <w:t xml:space="preserve"> discusses the need to define absolute probe placements</w:t>
      </w:r>
      <w:r w:rsidR="0080483D">
        <w:rPr>
          <w:rFonts w:eastAsia="Batang"/>
        </w:rPr>
        <w:t xml:space="preserve"> for the endorsed Multi</w:t>
      </w:r>
      <w:r w:rsidR="005C4260">
        <w:rPr>
          <w:rFonts w:eastAsia="Batang"/>
        </w:rPr>
        <w:t>-</w:t>
      </w:r>
      <w:r w:rsidR="0080483D">
        <w:rPr>
          <w:rFonts w:eastAsia="Batang"/>
        </w:rPr>
        <w:t>R</w:t>
      </w:r>
      <w:r w:rsidR="005C4260">
        <w:rPr>
          <w:rFonts w:eastAsia="Batang"/>
        </w:rPr>
        <w:t>x</w:t>
      </w:r>
      <w:r w:rsidR="0080483D">
        <w:rPr>
          <w:rFonts w:eastAsia="Batang"/>
        </w:rPr>
        <w:t xml:space="preserve"> Test System</w:t>
      </w:r>
      <w:r w:rsidR="006C2AF9" w:rsidRPr="00354167">
        <w:rPr>
          <w:rFonts w:eastAsia="Batang"/>
        </w:rPr>
        <w:t>.</w:t>
      </w:r>
    </w:p>
    <w:p w14:paraId="3475675B" w14:textId="77777777" w:rsidR="00DB6CE7" w:rsidRDefault="00DB6CE7" w:rsidP="00A2425C">
      <w:pPr>
        <w:pStyle w:val="Heading1"/>
        <w:ind w:left="0" w:firstLine="0"/>
      </w:pPr>
      <w:bookmarkStart w:id="2" w:name="_Ref31104997"/>
      <w:r>
        <w:t>Discussion</w:t>
      </w:r>
    </w:p>
    <w:p w14:paraId="1208AF18" w14:textId="26682CE0" w:rsidR="0080483D" w:rsidRDefault="00CE0078" w:rsidP="0080483D">
      <w:bookmarkStart w:id="3" w:name="_Ref115975103"/>
      <w:r>
        <w:t xml:space="preserve">As discussed in </w:t>
      </w:r>
      <w:r>
        <w:fldChar w:fldCharType="begin"/>
      </w:r>
      <w:r>
        <w:instrText xml:space="preserve"> REF _Ref134424982 \r \h </w:instrText>
      </w:r>
      <w:r>
        <w:fldChar w:fldCharType="separate"/>
      </w:r>
      <w:r>
        <w:t>[1]</w:t>
      </w:r>
      <w:r>
        <w:fldChar w:fldCharType="end"/>
      </w:r>
      <w:r>
        <w:t xml:space="preserve">, UE RF testing generally requires the definition of absolute probe locations </w:t>
      </w:r>
      <w:r w:rsidR="00CC29A2">
        <w:t>so that the UE perceives the DL directions</w:t>
      </w:r>
      <w:r w:rsidR="004B245C">
        <w:t xml:space="preserve"> always from the same direction</w:t>
      </w:r>
      <w:r w:rsidR="002E3655">
        <w:t xml:space="preserve">. </w:t>
      </w:r>
      <w:r w:rsidR="00FA7824">
        <w:t xml:space="preserve">This is why back in RAN4#105, it was agreed </w:t>
      </w:r>
      <w:r w:rsidR="00C64412">
        <w:t xml:space="preserve">to define absolute probe locations for </w:t>
      </w:r>
      <w:proofErr w:type="gramStart"/>
      <w:r w:rsidR="00C64412">
        <w:t>Multi</w:t>
      </w:r>
      <w:r w:rsidR="005C4260">
        <w:t>-Rx</w:t>
      </w:r>
      <w:proofErr w:type="gramEnd"/>
      <w:r w:rsidR="005C4260">
        <w:t xml:space="preserve"> test systems.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F835DB" w14:paraId="5222B757" w14:textId="77777777" w:rsidTr="00F835DB">
        <w:tc>
          <w:tcPr>
            <w:tcW w:w="9631" w:type="dxa"/>
          </w:tcPr>
          <w:p w14:paraId="18E05588" w14:textId="77777777" w:rsidR="00F835DB" w:rsidRPr="00492873" w:rsidRDefault="00F835DB" w:rsidP="00F835DB">
            <w:pPr>
              <w:rPr>
                <w:b/>
                <w:u w:val="single"/>
              </w:rPr>
            </w:pPr>
            <w:r w:rsidRPr="00492873">
              <w:rPr>
                <w:b/>
                <w:u w:val="single"/>
              </w:rPr>
              <w:t>Issue 1-2-2: Probe locations for UE RF testing</w:t>
            </w:r>
          </w:p>
          <w:p w14:paraId="713DFC79" w14:textId="77777777" w:rsidR="00F835DB" w:rsidRPr="00492873" w:rsidRDefault="00F835DB" w:rsidP="00F835DB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</w:pPr>
            <w:r w:rsidRPr="00492873">
              <w:t>Proposals</w:t>
            </w:r>
          </w:p>
          <w:p w14:paraId="720BA564" w14:textId="77777777" w:rsidR="00F835DB" w:rsidRPr="00492873" w:rsidRDefault="00F835DB" w:rsidP="00F835DB">
            <w:pPr>
              <w:pStyle w:val="ListParagraph"/>
              <w:numPr>
                <w:ilvl w:val="1"/>
                <w:numId w:val="43"/>
              </w:numPr>
              <w:spacing w:after="120" w:line="240" w:lineRule="auto"/>
              <w:ind w:left="1440"/>
              <w:contextualSpacing w:val="0"/>
            </w:pPr>
            <w:r w:rsidRPr="00492873">
              <w:t xml:space="preserve">Option 1 (Keysight): For measurement setup option 2a, absolute probe locations must be defined to guarantee different system vendors yield the same UE RF test </w:t>
            </w:r>
            <w:proofErr w:type="gramStart"/>
            <w:r w:rsidRPr="00492873">
              <w:t>results</w:t>
            </w:r>
            <w:proofErr w:type="gramEnd"/>
          </w:p>
          <w:p w14:paraId="68FC5147" w14:textId="77777777" w:rsidR="00F835DB" w:rsidRPr="00355226" w:rsidRDefault="00F835DB" w:rsidP="00F835DB">
            <w:pPr>
              <w:pStyle w:val="ListParagraph"/>
              <w:numPr>
                <w:ilvl w:val="0"/>
                <w:numId w:val="43"/>
              </w:numPr>
              <w:spacing w:after="120" w:line="240" w:lineRule="auto"/>
              <w:ind w:left="720"/>
              <w:contextualSpacing w:val="0"/>
            </w:pPr>
            <w:r w:rsidRPr="00355226">
              <w:t xml:space="preserve">Agreement: </w:t>
            </w:r>
          </w:p>
          <w:p w14:paraId="6601122A" w14:textId="32C6F44D" w:rsidR="00F835DB" w:rsidRDefault="00F835DB" w:rsidP="00F835DB">
            <w:r w:rsidRPr="00355226">
              <w:t>Option 1 is agreed</w:t>
            </w:r>
          </w:p>
        </w:tc>
      </w:tr>
    </w:tbl>
    <w:p w14:paraId="197FF81C" w14:textId="56246AE3" w:rsidR="00DB1204" w:rsidRDefault="007901EB" w:rsidP="0080483D">
      <w:r>
        <w:t xml:space="preserve">Given the various </w:t>
      </w:r>
      <w:r w:rsidR="00746973">
        <w:t xml:space="preserve">findings and agreements </w:t>
      </w:r>
      <w:r w:rsidR="00D90EA8">
        <w:t>made in the meantime</w:t>
      </w:r>
      <w:r w:rsidR="00F614EA">
        <w:t xml:space="preserve"> </w:t>
      </w:r>
      <w:r w:rsidR="00BB2726">
        <w:fldChar w:fldCharType="begin"/>
      </w:r>
      <w:r w:rsidR="00BB2726">
        <w:instrText xml:space="preserve"> REF _Ref134427328 \r \h </w:instrText>
      </w:r>
      <w:r w:rsidR="00BB2726">
        <w:fldChar w:fldCharType="separate"/>
      </w:r>
      <w:r w:rsidR="002D0B3C">
        <w:t>[3]</w:t>
      </w:r>
      <w:r w:rsidR="00BB2726">
        <w:fldChar w:fldCharType="end"/>
      </w:r>
      <w:r w:rsidR="009358B8">
        <w:fldChar w:fldCharType="begin"/>
      </w:r>
      <w:r w:rsidR="009358B8">
        <w:instrText xml:space="preserve"> REF _Ref134427414 \r \h </w:instrText>
      </w:r>
      <w:r w:rsidR="009358B8">
        <w:fldChar w:fldCharType="separate"/>
      </w:r>
      <w:r w:rsidR="002D0B3C">
        <w:t>[4]</w:t>
      </w:r>
      <w:r w:rsidR="009358B8">
        <w:fldChar w:fldCharType="end"/>
      </w:r>
      <w:r w:rsidR="00D90EA8">
        <w:t xml:space="preserve">, e.g., placement of probes in the </w:t>
      </w:r>
      <w:r w:rsidR="00E843F2" w:rsidRPr="00E843F2">
        <w:rPr>
          <w:i/>
          <w:iCs/>
        </w:rPr>
        <w:t>xz</w:t>
      </w:r>
      <w:r w:rsidR="00E843F2">
        <w:t xml:space="preserve"> plane, use of </w:t>
      </w:r>
      <w:r w:rsidR="00360416">
        <w:t>revised</w:t>
      </w:r>
      <w:r w:rsidR="008C788E">
        <w:t xml:space="preserve"> sweep of 0≤</w:t>
      </w:r>
      <w:r w:rsidR="008C788E" w:rsidRPr="008C788E">
        <w:rPr>
          <w:rFonts w:ascii="Symbol" w:hAnsi="Symbol"/>
        </w:rPr>
        <w:t>q</w:t>
      </w:r>
      <w:r w:rsidR="008C788E">
        <w:t>&lt;360° and 0≤</w:t>
      </w:r>
      <w:r w:rsidR="008C788E" w:rsidRPr="008C788E">
        <w:rPr>
          <w:rFonts w:ascii="Symbol" w:hAnsi="Symbol"/>
        </w:rPr>
        <w:t>f</w:t>
      </w:r>
      <w:r w:rsidR="008C788E">
        <w:t>&lt;180°</w:t>
      </w:r>
      <w:r w:rsidR="00486D42">
        <w:t xml:space="preserve">, it was stated in </w:t>
      </w:r>
      <w:r w:rsidR="00041BAF">
        <w:fldChar w:fldCharType="begin"/>
      </w:r>
      <w:r w:rsidR="00041BAF">
        <w:instrText xml:space="preserve"> REF _Ref134427098 \r \h </w:instrText>
      </w:r>
      <w:r w:rsidR="00041BAF">
        <w:fldChar w:fldCharType="separate"/>
      </w:r>
      <w:r w:rsidR="002D0B3C">
        <w:t>[5]</w:t>
      </w:r>
      <w:r w:rsidR="00041BAF">
        <w:fldChar w:fldCharType="end"/>
      </w:r>
      <w:r w:rsidR="00041BAF">
        <w:t xml:space="preserve"> that absolute probe locations are no longer </w:t>
      </w:r>
      <w:r w:rsidR="00CB20B3">
        <w:t>necessary.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31"/>
      </w:tblGrid>
      <w:tr w:rsidR="00DB1204" w14:paraId="6987E816" w14:textId="77777777" w:rsidTr="00DB1204">
        <w:tc>
          <w:tcPr>
            <w:tcW w:w="9631" w:type="dxa"/>
          </w:tcPr>
          <w:p w14:paraId="6C252EF9" w14:textId="1DDF87E9" w:rsidR="00DB1204" w:rsidRDefault="00DB1204" w:rsidP="0080483D">
            <w:r>
              <w:t>The implication is that for a pair of TRPs with some angular separation, the UE’s measured performance will not depend on the absolute location of the sources, only their relative locations.</w:t>
            </w:r>
          </w:p>
        </w:tc>
      </w:tr>
    </w:tbl>
    <w:bookmarkEnd w:id="3"/>
    <w:p w14:paraId="43F5797D" w14:textId="04295DA4" w:rsidR="00F46E30" w:rsidRDefault="005B32BD" w:rsidP="00C42EBF">
      <w:r>
        <w:t xml:space="preserve">In </w:t>
      </w:r>
      <w:r>
        <w:fldChar w:fldCharType="begin"/>
      </w:r>
      <w:r>
        <w:instrText xml:space="preserve"> REF _Ref134427328 \r \h </w:instrText>
      </w:r>
      <w:r>
        <w:fldChar w:fldCharType="separate"/>
      </w:r>
      <w:r>
        <w:t>[3]</w:t>
      </w:r>
      <w:r>
        <w:fldChar w:fldCharType="end"/>
      </w:r>
      <w:r>
        <w:t xml:space="preserve">, </w:t>
      </w:r>
      <w:r w:rsidR="00944F2F">
        <w:t xml:space="preserve">it was </w:t>
      </w:r>
      <w:r w:rsidR="00B9296A">
        <w:t>documented</w:t>
      </w:r>
      <w:r w:rsidR="00B727A3">
        <w:t xml:space="preserve"> that </w:t>
      </w:r>
      <w:r w:rsidR="00407197">
        <w:t xml:space="preserve">for </w:t>
      </w:r>
      <w:r w:rsidR="0045050C">
        <w:t xml:space="preserve">any </w:t>
      </w:r>
      <w:r w:rsidR="00B727A3">
        <w:t xml:space="preserve">probe placed in the </w:t>
      </w:r>
      <w:r w:rsidR="00B727A3" w:rsidRPr="007C3F8A">
        <w:rPr>
          <w:i/>
          <w:iCs/>
        </w:rPr>
        <w:t>xz</w:t>
      </w:r>
      <w:r w:rsidR="00B727A3">
        <w:t xml:space="preserve"> plane</w:t>
      </w:r>
      <w:r w:rsidR="006576E2">
        <w:t xml:space="preserve">, testing with a </w:t>
      </w:r>
      <w:r w:rsidR="00B727A3">
        <w:t>constant-step size grid</w:t>
      </w:r>
      <w:r w:rsidR="006576E2">
        <w:t xml:space="preserve">, and utilizing a </w:t>
      </w:r>
      <w:r w:rsidR="00A85491">
        <w:t>f</w:t>
      </w:r>
      <w:r w:rsidR="0045050C" w:rsidRPr="00305EE6">
        <w:rPr>
          <w:bCs/>
        </w:rPr>
        <w:t xml:space="preserve">ull rotation in </w:t>
      </w:r>
      <w:r w:rsidR="0045050C" w:rsidRPr="00F6239A">
        <w:rPr>
          <w:rFonts w:ascii="Symbol" w:hAnsi="Symbol"/>
        </w:rPr>
        <w:t>q</w:t>
      </w:r>
      <w:r w:rsidR="0045050C" w:rsidRPr="00305EE6">
        <w:rPr>
          <w:bCs/>
        </w:rPr>
        <w:t xml:space="preserve"> and half rotation in</w:t>
      </w:r>
      <w:r w:rsidR="0045050C">
        <w:rPr>
          <w:bCs/>
        </w:rPr>
        <w:t xml:space="preserve"> </w:t>
      </w:r>
      <w:r w:rsidR="0045050C" w:rsidRPr="00F6239A">
        <w:rPr>
          <w:rFonts w:ascii="Symbol" w:hAnsi="Symbol"/>
        </w:rPr>
        <w:t>f</w:t>
      </w:r>
      <w:r w:rsidR="0045050C" w:rsidRPr="0045050C">
        <w:t xml:space="preserve">, </w:t>
      </w:r>
      <w:r w:rsidR="009734B9">
        <w:t xml:space="preserve">the </w:t>
      </w:r>
      <w:r w:rsidR="009E430C">
        <w:t xml:space="preserve">combination of </w:t>
      </w:r>
      <w:r w:rsidR="009734B9">
        <w:t xml:space="preserve">DL directions perceived by the probes </w:t>
      </w:r>
      <w:r w:rsidR="00B9426B">
        <w:t>are aligned with the coordinates of the test points</w:t>
      </w:r>
      <w:r>
        <w:t>.</w:t>
      </w:r>
      <w:r w:rsidR="0015176E">
        <w:t xml:space="preserve"> </w:t>
      </w:r>
      <w:r w:rsidR="00C21634">
        <w:t xml:space="preserve">However, this </w:t>
      </w:r>
      <w:r w:rsidR="00DC411E">
        <w:t xml:space="preserve">observation alone does not necessarily indicate that absolute probe locations are </w:t>
      </w:r>
      <w:r w:rsidR="006C60DD">
        <w:t>not necessary</w:t>
      </w:r>
      <w:r w:rsidR="00E60088">
        <w:t>;</w:t>
      </w:r>
      <w:r w:rsidR="006C60DD">
        <w:t xml:space="preserve"> instead, the </w:t>
      </w:r>
      <w:r w:rsidR="00E60088">
        <w:t xml:space="preserve">effect of </w:t>
      </w:r>
      <w:r w:rsidR="006C60DD">
        <w:t xml:space="preserve">both </w:t>
      </w:r>
      <w:r w:rsidR="00534F72">
        <w:t xml:space="preserve">AoAs </w:t>
      </w:r>
      <w:r w:rsidR="00E60088">
        <w:t xml:space="preserve">on the perceived DL </w:t>
      </w:r>
      <w:r w:rsidR="00685AC2">
        <w:t xml:space="preserve">directions needs to be confirmed </w:t>
      </w:r>
      <w:r w:rsidR="001D09E5">
        <w:t>to be the</w:t>
      </w:r>
      <w:r w:rsidR="00685AC2">
        <w:t xml:space="preserve"> same as well. </w:t>
      </w:r>
    </w:p>
    <w:p w14:paraId="3CB8ABC1" w14:textId="4D5D000B" w:rsidR="00CE1EA9" w:rsidRDefault="00F5010C" w:rsidP="00CE1EA9">
      <w:pPr>
        <w:tabs>
          <w:tab w:val="left" w:pos="810"/>
        </w:tabs>
        <w:spacing w:after="0"/>
      </w:pPr>
      <w:r>
        <w:t>The comb</w:t>
      </w:r>
      <w:r w:rsidR="00E02447">
        <w:t xml:space="preserve">ined effect of the </w:t>
      </w:r>
      <w:r w:rsidR="003162F0">
        <w:t xml:space="preserve">2 AoA DL polarizations perceived by the UE was illustrated in </w:t>
      </w:r>
      <w:r w:rsidR="003162F0">
        <w:fldChar w:fldCharType="begin"/>
      </w:r>
      <w:r w:rsidR="003162F0">
        <w:instrText xml:space="preserve"> REF _Ref134427328 \r \h </w:instrText>
      </w:r>
      <w:r w:rsidR="003162F0">
        <w:fldChar w:fldCharType="separate"/>
      </w:r>
      <w:r w:rsidR="003162F0">
        <w:t>[3]</w:t>
      </w:r>
      <w:r w:rsidR="003162F0">
        <w:fldChar w:fldCharType="end"/>
      </w:r>
      <w:r w:rsidR="003162F0">
        <w:t xml:space="preserve"> </w:t>
      </w:r>
      <w:r w:rsidR="00AE0971">
        <w:t xml:space="preserve">using the </w:t>
      </w:r>
      <w:r w:rsidR="00E444A0" w:rsidRPr="00E444A0">
        <w:t xml:space="preserve">AoA1-AoA2 DL Orientation Vectors </w:t>
      </w:r>
      <w:r w:rsidR="003162F0">
        <w:t xml:space="preserve">and will be re-used here. </w:t>
      </w:r>
      <w:r w:rsidR="00CE1EA9">
        <w:t xml:space="preserve">The AoA1-AoA2 DL orientation vectors, i.e., the vectors between the DL orientation perceived by the UE from AoA1 to AoA2, are visualized </w:t>
      </w:r>
      <w:r w:rsidR="00236ECD">
        <w:t xml:space="preserve">by plotting </w:t>
      </w:r>
      <w:r w:rsidR="00BA657B">
        <w:t xml:space="preserve">the AoA1 DL directions on </w:t>
      </w:r>
      <w:r w:rsidR="00426E1F">
        <w:t>a</w:t>
      </w:r>
      <w:r w:rsidR="00BA657B">
        <w:t xml:space="preserve"> sphere with the black marker while the direction towards the corresponding offset AoA2 DL direction is visualized with </w:t>
      </w:r>
      <w:proofErr w:type="gramStart"/>
      <w:r w:rsidR="00426E1F">
        <w:lastRenderedPageBreak/>
        <w:t>an</w:t>
      </w:r>
      <w:proofErr w:type="gramEnd"/>
      <w:r w:rsidR="00BA657B">
        <w:t xml:space="preserve"> single arrow (the length of the arrow corresponds to the value of the offset)</w:t>
      </w:r>
      <w:r w:rsidR="00236ECD">
        <w:t xml:space="preserve">, e.g., </w:t>
      </w:r>
      <w:r w:rsidR="00CE1EA9" w:rsidRPr="00EF17AA">
        <w:rPr>
          <w:noProof/>
        </w:rPr>
        <w:drawing>
          <wp:inline distT="0" distB="0" distL="0" distR="0" wp14:anchorId="493F6BD5" wp14:editId="21189A41">
            <wp:extent cx="2068830" cy="1998345"/>
            <wp:effectExtent l="0" t="0" r="7620" b="1905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830" cy="199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5FACF" w14:textId="7C09CB90" w:rsidR="00C84E2E" w:rsidRDefault="00AB5CCF" w:rsidP="00C42EBF">
      <w:r>
        <w:t xml:space="preserve">The </w:t>
      </w:r>
      <w:r w:rsidR="00556E7F">
        <w:t>visualization of the AoA1-AoA2 DL orientation vectors</w:t>
      </w:r>
      <w:r w:rsidR="00FD4707">
        <w:t xml:space="preserve"> in </w:t>
      </w:r>
      <w:r w:rsidR="00AF53D7">
        <w:t xml:space="preserve">Table 15 of </w:t>
      </w:r>
      <w:r w:rsidR="00AF53D7">
        <w:fldChar w:fldCharType="begin"/>
      </w:r>
      <w:r w:rsidR="00AF53D7">
        <w:instrText xml:space="preserve"> REF _Ref134427328 \r \h </w:instrText>
      </w:r>
      <w:r w:rsidR="00AF53D7">
        <w:fldChar w:fldCharType="separate"/>
      </w:r>
      <w:r w:rsidR="00AF53D7">
        <w:t>[3]</w:t>
      </w:r>
      <w:r w:rsidR="00AF53D7">
        <w:fldChar w:fldCharType="end"/>
      </w:r>
      <w:r w:rsidR="00AF53D7">
        <w:t xml:space="preserve"> where AoA1 is aligned with P0, i.e., the probe aligned with the </w:t>
      </w:r>
      <w:r w:rsidR="00AF53D7" w:rsidRPr="00AF53D7">
        <w:rPr>
          <w:i/>
          <w:iCs/>
        </w:rPr>
        <w:t>z</w:t>
      </w:r>
      <w:r w:rsidR="00AF53D7">
        <w:t xml:space="preserve"> axis, will serve as the </w:t>
      </w:r>
      <w:r w:rsidR="00426E1F">
        <w:t>reference,</w:t>
      </w:r>
      <w:r w:rsidR="00AF53D7">
        <w:t xml:space="preserve"> and will not be repeated here. </w:t>
      </w:r>
      <w:r w:rsidR="00F71D94">
        <w:t xml:space="preserve">The following illustrations will </w:t>
      </w:r>
      <w:r w:rsidR="00A20C11">
        <w:t>use</w:t>
      </w:r>
      <w:r w:rsidR="00F71D94">
        <w:t xml:space="preserve"> a 15°</w:t>
      </w:r>
      <w:r w:rsidR="00B04C92">
        <w:t xml:space="preserve"> grid spacing while in </w:t>
      </w:r>
      <w:r w:rsidR="00B04C92">
        <w:fldChar w:fldCharType="begin"/>
      </w:r>
      <w:r w:rsidR="00B04C92">
        <w:instrText xml:space="preserve"> REF _Ref134427328 \r \h </w:instrText>
      </w:r>
      <w:r w:rsidR="00B04C92">
        <w:fldChar w:fldCharType="separate"/>
      </w:r>
      <w:r w:rsidR="00B04C92">
        <w:t>[3]</w:t>
      </w:r>
      <w:r w:rsidR="00B04C92">
        <w:fldChar w:fldCharType="end"/>
      </w:r>
      <w:r w:rsidR="00B04C92">
        <w:t>, a 30° grid spacing was used</w:t>
      </w:r>
      <w:r w:rsidR="008D3EFE">
        <w:t xml:space="preserve">. </w:t>
      </w:r>
    </w:p>
    <w:p w14:paraId="1875F179" w14:textId="66782C81" w:rsidR="009B1090" w:rsidRDefault="009B1090" w:rsidP="00C42EBF">
      <w:r>
        <w:t>Two different</w:t>
      </w:r>
      <w:r w:rsidR="001C75A8">
        <w:t xml:space="preserve"> probe placement examples will be further investigated here. In the first example, </w:t>
      </w:r>
      <w:r w:rsidR="00A74F64">
        <w:t xml:space="preserve">as illustrated in </w:t>
      </w:r>
      <w:r w:rsidR="00507E32">
        <w:fldChar w:fldCharType="begin"/>
      </w:r>
      <w:r w:rsidR="00507E32">
        <w:instrText xml:space="preserve"> REF _Ref134431662 \h </w:instrText>
      </w:r>
      <w:r w:rsidR="00507E32">
        <w:fldChar w:fldCharType="separate"/>
      </w:r>
      <w:r w:rsidR="00507E32" w:rsidRPr="00C63F93">
        <w:t xml:space="preserve">Figure </w:t>
      </w:r>
      <w:r w:rsidR="00507E32" w:rsidRPr="00C63F93">
        <w:rPr>
          <w:noProof/>
        </w:rPr>
        <w:t>1</w:t>
      </w:r>
      <w:r w:rsidR="00507E32">
        <w:fldChar w:fldCharType="end"/>
      </w:r>
      <w:r w:rsidR="00507E32">
        <w:t>, the P</w:t>
      </w:r>
      <w:r w:rsidR="006852F5">
        <w:t xml:space="preserve">0 probe is </w:t>
      </w:r>
      <w:r w:rsidR="003F3048">
        <w:t xml:space="preserve">no longer aligned with the </w:t>
      </w:r>
      <w:r w:rsidR="003F3048" w:rsidRPr="00AF53D7">
        <w:rPr>
          <w:i/>
          <w:iCs/>
        </w:rPr>
        <w:t>z</w:t>
      </w:r>
      <w:r w:rsidR="003F3048">
        <w:t xml:space="preserve"> axis but </w:t>
      </w:r>
      <w:r w:rsidR="00822E9A">
        <w:t>rotated by 30°</w:t>
      </w:r>
      <w:r w:rsidR="00604B29">
        <w:t xml:space="preserve"> towards the -</w:t>
      </w:r>
      <w:r w:rsidR="00604B29" w:rsidRPr="00604B29">
        <w:rPr>
          <w:i/>
          <w:iCs/>
        </w:rPr>
        <w:t>x</w:t>
      </w:r>
      <w:r w:rsidR="00604B29">
        <w:t xml:space="preserve"> axis. </w:t>
      </w:r>
    </w:p>
    <w:p w14:paraId="23A8C587" w14:textId="23B56768" w:rsidR="00A74F64" w:rsidRDefault="00971B82" w:rsidP="00507E32">
      <w:pPr>
        <w:pStyle w:val="TAC"/>
      </w:pPr>
      <w:r w:rsidRPr="00971B82">
        <w:rPr>
          <w:noProof/>
        </w:rPr>
        <w:drawing>
          <wp:inline distT="0" distB="0" distL="0" distR="0" wp14:anchorId="5FCB5D32" wp14:editId="78A7913F">
            <wp:extent cx="4778724" cy="2743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8724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27940" w14:textId="1ED33B17" w:rsidR="00C63F93" w:rsidRDefault="00C63F93" w:rsidP="00507E32">
      <w:pPr>
        <w:pStyle w:val="TH"/>
      </w:pPr>
      <w:bookmarkStart w:id="4" w:name="_Ref134431662"/>
      <w:r w:rsidRPr="00C63F93">
        <w:t xml:space="preserve">Figure </w:t>
      </w:r>
      <w:r w:rsidRPr="00C63F93">
        <w:fldChar w:fldCharType="begin"/>
      </w:r>
      <w:r w:rsidRPr="00C63F93">
        <w:instrText xml:space="preserve"> SEQ Figure \* ARABIC </w:instrText>
      </w:r>
      <w:r w:rsidRPr="00C63F93">
        <w:fldChar w:fldCharType="separate"/>
      </w:r>
      <w:r w:rsidRPr="00C63F93">
        <w:rPr>
          <w:noProof/>
        </w:rPr>
        <w:t>1</w:t>
      </w:r>
      <w:r w:rsidRPr="00C63F93">
        <w:fldChar w:fldCharType="end"/>
      </w:r>
      <w:bookmarkEnd w:id="4"/>
      <w:r>
        <w:t>: Example system implementation with P0</w:t>
      </w:r>
      <w:r w:rsidR="006A12DC">
        <w:t xml:space="preserve"> placed at </w:t>
      </w:r>
      <w:r w:rsidR="006A12DC" w:rsidRPr="006A12DC">
        <w:rPr>
          <w:rFonts w:ascii="Symbol" w:hAnsi="Symbol"/>
        </w:rPr>
        <w:t>q</w:t>
      </w:r>
      <w:r w:rsidR="006A12DC">
        <w:t>=</w:t>
      </w:r>
      <w:r w:rsidR="00A20C11">
        <w:t>-</w:t>
      </w:r>
      <w:r w:rsidR="006A12DC">
        <w:t>30°</w:t>
      </w:r>
    </w:p>
    <w:p w14:paraId="3AB2ABED" w14:textId="3CCD4641" w:rsidR="00E271FC" w:rsidRDefault="00E271FC" w:rsidP="00E271FC">
      <w:r>
        <w:t xml:space="preserve">In the second example, the </w:t>
      </w:r>
      <w:r w:rsidR="009B2780">
        <w:t xml:space="preserve">AoA1&amp;AoA2 </w:t>
      </w:r>
      <w:r>
        <w:t>probes</w:t>
      </w:r>
      <w:r w:rsidR="009B2780">
        <w:t xml:space="preserve"> are placed so that they are symmetric to the </w:t>
      </w:r>
      <w:r w:rsidR="009B2780" w:rsidRPr="009B2780">
        <w:rPr>
          <w:i/>
          <w:iCs/>
        </w:rPr>
        <w:t>z</w:t>
      </w:r>
      <w:r w:rsidR="009B2780">
        <w:t xml:space="preserve"> axis as illustrated in </w:t>
      </w:r>
      <w:r w:rsidR="00EF521B">
        <w:fldChar w:fldCharType="begin"/>
      </w:r>
      <w:r w:rsidR="00EF521B">
        <w:instrText xml:space="preserve"> REF _Ref134433769 \h </w:instrText>
      </w:r>
      <w:r w:rsidR="00EF521B">
        <w:fldChar w:fldCharType="separate"/>
      </w:r>
      <w:r w:rsidR="00EF521B" w:rsidRPr="00C63F93">
        <w:t xml:space="preserve">Figure </w:t>
      </w:r>
      <w:r w:rsidR="00EF521B">
        <w:rPr>
          <w:noProof/>
        </w:rPr>
        <w:t>2</w:t>
      </w:r>
      <w:r w:rsidR="00EF521B">
        <w:fldChar w:fldCharType="end"/>
      </w:r>
      <w:r w:rsidR="00EF521B">
        <w:t>.</w:t>
      </w:r>
      <w:r w:rsidR="00AC720B">
        <w:t xml:space="preserve"> </w:t>
      </w:r>
    </w:p>
    <w:p w14:paraId="3CE83891" w14:textId="25DFB342" w:rsidR="00D5329A" w:rsidRDefault="00481A62" w:rsidP="00A831F9">
      <w:pPr>
        <w:keepNext/>
        <w:jc w:val="center"/>
      </w:pPr>
      <w:r w:rsidRPr="00481A62">
        <w:rPr>
          <w:noProof/>
        </w:rPr>
        <w:lastRenderedPageBreak/>
        <w:drawing>
          <wp:inline distT="0" distB="0" distL="0" distR="0" wp14:anchorId="21AEFB43" wp14:editId="30035D76">
            <wp:extent cx="2287794" cy="17373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794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5329A" w:rsidRPr="00D5329A">
        <w:rPr>
          <w:noProof/>
        </w:rPr>
        <w:drawing>
          <wp:inline distT="0" distB="0" distL="0" distR="0" wp14:anchorId="06B7B29F" wp14:editId="364E85C7">
            <wp:extent cx="1986256" cy="17373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56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51B1" w:rsidRPr="001751B1">
        <w:rPr>
          <w:noProof/>
        </w:rPr>
        <w:drawing>
          <wp:inline distT="0" distB="0" distL="0" distR="0" wp14:anchorId="7F6289AC" wp14:editId="22454859">
            <wp:extent cx="1761386" cy="17373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386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735A5" w14:textId="21A54125" w:rsidR="001751B1" w:rsidRDefault="001751B1" w:rsidP="00A831F9">
      <w:pPr>
        <w:pStyle w:val="TH"/>
        <w:keepLines w:val="0"/>
      </w:pPr>
      <w:bookmarkStart w:id="5" w:name="_Ref134433769"/>
      <w:r w:rsidRPr="00C63F93">
        <w:t xml:space="preserve">Figure </w:t>
      </w:r>
      <w:r w:rsidRPr="00C63F93">
        <w:fldChar w:fldCharType="begin"/>
      </w:r>
      <w:r w:rsidRPr="00C63F93">
        <w:instrText xml:space="preserve"> SEQ Figure \* ARABIC </w:instrText>
      </w:r>
      <w:r w:rsidRPr="00C63F93">
        <w:fldChar w:fldCharType="separate"/>
      </w:r>
      <w:r w:rsidR="004F1DB1">
        <w:rPr>
          <w:noProof/>
        </w:rPr>
        <w:t>2</w:t>
      </w:r>
      <w:r w:rsidRPr="00C63F93">
        <w:fldChar w:fldCharType="end"/>
      </w:r>
      <w:bookmarkEnd w:id="5"/>
      <w:r>
        <w:t>: Example system implementation with probes</w:t>
      </w:r>
      <w:r w:rsidR="00A263B5">
        <w:t xml:space="preserve"> symmetric</w:t>
      </w:r>
      <w:r w:rsidR="004F1DB1">
        <w:t xml:space="preserve"> to the z </w:t>
      </w:r>
      <w:proofErr w:type="gramStart"/>
      <w:r w:rsidR="004F1DB1">
        <w:t>axis:</w:t>
      </w:r>
      <w:proofErr w:type="gramEnd"/>
      <w:r w:rsidR="004F1DB1">
        <w:t xml:space="preserve"> </w:t>
      </w:r>
      <w:r w:rsidR="00225123">
        <w:t>left: P0 &amp; P60, centre</w:t>
      </w:r>
      <w:r w:rsidR="004F1DB1">
        <w:t xml:space="preserve">: P0 &amp; P120, right: P0 &amp; P150. </w:t>
      </w:r>
    </w:p>
    <w:p w14:paraId="7F89446E" w14:textId="203376A7" w:rsidR="001751B1" w:rsidRDefault="00CC06F8" w:rsidP="00E271FC">
      <w:r>
        <w:t>The</w:t>
      </w:r>
      <w:r w:rsidR="00AB0402" w:rsidRPr="00AB0402">
        <w:t xml:space="preserve"> </w:t>
      </w:r>
      <w:r w:rsidR="00AB0402">
        <w:t>AoA1-AoA2 DL orientation vectors for the two system/probe configurations</w:t>
      </w:r>
      <w:r>
        <w:t xml:space="preserve"> </w:t>
      </w:r>
      <w:r w:rsidR="00AB0402">
        <w:t xml:space="preserve">are </w:t>
      </w:r>
      <w:r w:rsidR="00112C7A">
        <w:t xml:space="preserve">further illustrated in </w:t>
      </w:r>
      <w:r w:rsidR="00112C7A">
        <w:fldChar w:fldCharType="begin"/>
      </w:r>
      <w:r w:rsidR="00112C7A">
        <w:instrText xml:space="preserve"> REF _Ref127165355 \h </w:instrText>
      </w:r>
      <w:r w:rsidR="00112C7A">
        <w:fldChar w:fldCharType="separate"/>
      </w:r>
      <w:r w:rsidR="00112C7A">
        <w:t xml:space="preserve">Table </w:t>
      </w:r>
      <w:r w:rsidR="00112C7A">
        <w:rPr>
          <w:noProof/>
        </w:rPr>
        <w:t>1</w:t>
      </w:r>
      <w:r w:rsidR="00112C7A">
        <w:fldChar w:fldCharType="end"/>
      </w:r>
      <w:r w:rsidR="00112C7A">
        <w:t xml:space="preserve">. Clearly, the vectors are aligned with </w:t>
      </w:r>
      <w:r w:rsidR="002A67F1">
        <w:t xml:space="preserve">those from </w:t>
      </w:r>
      <w:r w:rsidR="00112C7A">
        <w:t>the default</w:t>
      </w:r>
      <w:r w:rsidR="009E4FBB">
        <w:t xml:space="preserve"> system configuration with P0 aligned along the </w:t>
      </w:r>
      <w:r w:rsidR="009E4FBB" w:rsidRPr="009E4FBB">
        <w:rPr>
          <w:i/>
          <w:iCs/>
        </w:rPr>
        <w:t>z</w:t>
      </w:r>
      <w:r w:rsidR="009E4FBB">
        <w:t xml:space="preserve"> axis </w:t>
      </w:r>
      <w:r w:rsidR="00AE7393">
        <w:fldChar w:fldCharType="begin"/>
      </w:r>
      <w:r w:rsidR="00AE7393">
        <w:instrText xml:space="preserve"> REF _Ref134427098 \n \h </w:instrText>
      </w:r>
      <w:r w:rsidR="00AE7393">
        <w:fldChar w:fldCharType="separate"/>
      </w:r>
      <w:r w:rsidR="00AE7393">
        <w:t>[5]</w:t>
      </w:r>
      <w:r w:rsidR="00AE7393">
        <w:fldChar w:fldCharType="end"/>
      </w:r>
      <w:r w:rsidR="009E4FBB">
        <w:t xml:space="preserve">. </w:t>
      </w:r>
    </w:p>
    <w:p w14:paraId="5950EA9B" w14:textId="77777777" w:rsidR="00D774A3" w:rsidRDefault="00D774A3" w:rsidP="00D774A3">
      <w:r>
        <w:t>It is therefore proposed to consider the previous agreement for absolute probe locations for UE RF testing unnecessary for multi-Rx UE RF testing using the proposed test system and testing methodology.</w:t>
      </w:r>
    </w:p>
    <w:p w14:paraId="1045310D" w14:textId="18E18775" w:rsidR="00D774A3" w:rsidRDefault="00D774A3" w:rsidP="00D774A3">
      <w:pPr>
        <w:pStyle w:val="Caption"/>
      </w:pPr>
      <w:bookmarkStart w:id="6" w:name="_Ref134440567"/>
      <w:bookmarkStart w:id="7" w:name="_Ref135042201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: Consider the previous agreement for absolute probe locations for UE RF testing unnecessary for multi-Rx UE RF testing using the proposed test system and testing </w:t>
      </w:r>
      <w:bookmarkEnd w:id="6"/>
      <w:r w:rsidR="008D2B7D">
        <w:t>methodology.</w:t>
      </w:r>
      <w:bookmarkEnd w:id="7"/>
    </w:p>
    <w:p w14:paraId="1A8D0D9D" w14:textId="6A83425E" w:rsidR="00E031D9" w:rsidRDefault="00E031D9" w:rsidP="00E031D9">
      <w:r>
        <w:t>This will effectively allow any</w:t>
      </w:r>
      <w:r w:rsidR="000726B2">
        <w:t xml:space="preserve"> 2 AoA RRM</w:t>
      </w:r>
      <w:r w:rsidR="00F54747">
        <w:t xml:space="preserve"> test system with probes in the </w:t>
      </w:r>
      <w:r w:rsidR="00F54747" w:rsidRPr="00FF2569">
        <w:rPr>
          <w:i/>
          <w:iCs/>
        </w:rPr>
        <w:t>xz</w:t>
      </w:r>
      <w:r w:rsidR="00F54747">
        <w:t xml:space="preserve"> plane to be applicable</w:t>
      </w:r>
      <w:r w:rsidR="00EC1058">
        <w:t xml:space="preserve"> for </w:t>
      </w:r>
      <w:proofErr w:type="gramStart"/>
      <w:r w:rsidR="00EC1058">
        <w:t>Multi-Rx</w:t>
      </w:r>
      <w:proofErr w:type="gramEnd"/>
      <w:r w:rsidR="00EC1058">
        <w:t xml:space="preserve"> testing</w:t>
      </w:r>
      <w:r w:rsidR="0018750E">
        <w:t xml:space="preserve"> as long as the </w:t>
      </w:r>
      <w:r w:rsidR="003140D9">
        <w:t>test system supports the required relative angular offsets</w:t>
      </w:r>
      <w:r w:rsidR="00EC1058">
        <w:t xml:space="preserve">. </w:t>
      </w:r>
    </w:p>
    <w:p w14:paraId="62D72E13" w14:textId="02F0EF90" w:rsidR="009555BE" w:rsidRPr="00E031D9" w:rsidRDefault="009555BE" w:rsidP="005D2167">
      <w:pPr>
        <w:pStyle w:val="Caption"/>
      </w:pPr>
      <w:bookmarkStart w:id="8" w:name="_Ref135042202"/>
      <w:r>
        <w:t xml:space="preserve">Proposal </w:t>
      </w:r>
      <w:r>
        <w:fldChar w:fldCharType="begin"/>
      </w:r>
      <w:r>
        <w:instrText xml:space="preserve"> SEQ Proposal \* ARABIC </w:instrText>
      </w:r>
      <w:r>
        <w:fldChar w:fldCharType="separate"/>
      </w:r>
      <w:r w:rsidR="00D60E8D">
        <w:rPr>
          <w:noProof/>
        </w:rPr>
        <w:t>2</w:t>
      </w:r>
      <w:r>
        <w:fldChar w:fldCharType="end"/>
      </w:r>
      <w:r>
        <w:t xml:space="preserve">: </w:t>
      </w:r>
      <w:r>
        <w:t xml:space="preserve">Consider </w:t>
      </w:r>
      <w:r w:rsidR="00F55277">
        <w:t xml:space="preserve">any 2 AoA RRM test system with probes in the </w:t>
      </w:r>
      <w:r w:rsidR="00F55277" w:rsidRPr="00D60E8D">
        <w:rPr>
          <w:i/>
          <w:iCs/>
        </w:rPr>
        <w:t>xz</w:t>
      </w:r>
      <w:r w:rsidR="00F55277">
        <w:t xml:space="preserve"> plane</w:t>
      </w:r>
      <w:r w:rsidR="00264F17">
        <w:t xml:space="preserve"> and the required relative angular offsets for </w:t>
      </w:r>
      <w:proofErr w:type="gramStart"/>
      <w:r w:rsidR="00264F17">
        <w:t>Multi-Rx</w:t>
      </w:r>
      <w:proofErr w:type="gramEnd"/>
      <w:r w:rsidR="00264F17">
        <w:t xml:space="preserve"> testing suitable for Multi-Rx OTA spherical coverage </w:t>
      </w:r>
      <w:r w:rsidR="00187AF9">
        <w:t>test cases</w:t>
      </w:r>
      <w:r w:rsidR="005D2167">
        <w:t>.</w:t>
      </w:r>
      <w:bookmarkEnd w:id="8"/>
    </w:p>
    <w:p w14:paraId="34A12B8E" w14:textId="77777777" w:rsidR="00D774A3" w:rsidRDefault="00D774A3" w:rsidP="00E271FC"/>
    <w:p w14:paraId="504634B1" w14:textId="77777777" w:rsidR="00F775AD" w:rsidRDefault="00F775AD" w:rsidP="00E271FC">
      <w:pPr>
        <w:sectPr w:rsidR="00F775AD">
          <w:footnotePr>
            <w:numRestart w:val="eachSect"/>
          </w:footnotePr>
          <w:pgSz w:w="11907" w:h="16840" w:code="9"/>
          <w:pgMar w:top="1416" w:right="1133" w:bottom="1133" w:left="1133" w:header="850" w:footer="340" w:gutter="0"/>
          <w:cols w:space="720"/>
          <w:formProt w:val="0"/>
        </w:sectPr>
      </w:pPr>
    </w:p>
    <w:p w14:paraId="7A36B2D2" w14:textId="79BAE07D" w:rsidR="00F775AD" w:rsidRDefault="00F775AD" w:rsidP="00F775AD">
      <w:pPr>
        <w:pStyle w:val="Caption"/>
        <w:tabs>
          <w:tab w:val="left" w:pos="810"/>
        </w:tabs>
        <w:jc w:val="center"/>
      </w:pPr>
      <w:bookmarkStart w:id="9" w:name="_Ref127165355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9053B6">
        <w:rPr>
          <w:noProof/>
        </w:rPr>
        <w:t>1</w:t>
      </w:r>
      <w:r>
        <w:fldChar w:fldCharType="end"/>
      </w:r>
      <w:bookmarkEnd w:id="9"/>
      <w:r>
        <w:t>: Vectors of DL orientations between AoA1 (P0) and AoA2 from two different system configurations with AoA2 to AoA1 probe offsets of 60</w:t>
      </w:r>
      <w:r w:rsidRPr="00272C63">
        <w:t>°</w:t>
      </w:r>
      <w:r>
        <w:t>, 120</w:t>
      </w:r>
      <w:r w:rsidRPr="00272C63">
        <w:t>°</w:t>
      </w:r>
      <w:r>
        <w:t>, and 150</w:t>
      </w:r>
      <w:r w:rsidRPr="00272C63">
        <w:t>°</w:t>
      </w:r>
      <w:r>
        <w:t xml:space="preserve"> with a constant-step size grid using 84 grid points (</w:t>
      </w:r>
      <w:r w:rsidRPr="008E490A">
        <w:rPr>
          <w:rFonts w:ascii="Symbol" w:hAnsi="Symbol"/>
        </w:rPr>
        <w:t>Dq</w:t>
      </w:r>
      <w:r>
        <w:t>=</w:t>
      </w:r>
      <w:r w:rsidRPr="008E490A">
        <w:rPr>
          <w:rFonts w:ascii="Symbol" w:hAnsi="Symbol"/>
        </w:rPr>
        <w:t>Df</w:t>
      </w:r>
      <w:r>
        <w:t>=30°). F</w:t>
      </w:r>
      <w:r w:rsidRPr="00305EE6">
        <w:rPr>
          <w:bCs/>
        </w:rPr>
        <w:t xml:space="preserve">ull rotation in </w:t>
      </w:r>
      <w:r w:rsidRPr="00F6239A">
        <w:rPr>
          <w:rFonts w:ascii="Symbol" w:hAnsi="Symbol"/>
        </w:rPr>
        <w:t>q</w:t>
      </w:r>
      <w:r w:rsidRPr="00305EE6">
        <w:rPr>
          <w:bCs/>
        </w:rPr>
        <w:t xml:space="preserve"> and half rotation in</w:t>
      </w:r>
      <w:r>
        <w:rPr>
          <w:b w:val="0"/>
          <w:bCs/>
        </w:rPr>
        <w:t xml:space="preserve"> </w:t>
      </w:r>
      <w:r w:rsidRPr="00F6239A">
        <w:rPr>
          <w:rFonts w:ascii="Symbol" w:hAnsi="Symbol"/>
        </w:rPr>
        <w:t xml:space="preserve">f. </w:t>
      </w:r>
    </w:p>
    <w:tbl>
      <w:tblPr>
        <w:tblStyle w:val="TableGrid"/>
        <w:tblW w:w="15169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1440"/>
        <w:gridCol w:w="4585"/>
        <w:gridCol w:w="9144"/>
      </w:tblGrid>
      <w:tr w:rsidR="00F31B3D" w14:paraId="7B70A7CD" w14:textId="77777777" w:rsidTr="00742D25">
        <w:tc>
          <w:tcPr>
            <w:tcW w:w="1440" w:type="dxa"/>
            <w:vAlign w:val="center"/>
          </w:tcPr>
          <w:p w14:paraId="1F7726EA" w14:textId="77777777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</w:p>
        </w:tc>
        <w:tc>
          <w:tcPr>
            <w:tcW w:w="4585" w:type="dxa"/>
            <w:vAlign w:val="center"/>
          </w:tcPr>
          <w:p w14:paraId="391CA5F7" w14:textId="0A309853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  <w:r>
              <w:rPr>
                <w:b/>
                <w:bCs/>
              </w:rPr>
              <w:t xml:space="preserve"> with P0 at </w:t>
            </w:r>
            <w:r w:rsidRPr="00F31B3D">
              <w:rPr>
                <w:rFonts w:ascii="Symbol" w:hAnsi="Symbol"/>
                <w:b/>
                <w:bCs/>
              </w:rPr>
              <w:t>q</w:t>
            </w:r>
            <w:r>
              <w:rPr>
                <w:b/>
                <w:bCs/>
              </w:rPr>
              <w:t>=-30°</w:t>
            </w:r>
          </w:p>
        </w:tc>
        <w:tc>
          <w:tcPr>
            <w:tcW w:w="9144" w:type="dxa"/>
            <w:vAlign w:val="center"/>
          </w:tcPr>
          <w:p w14:paraId="1B17CF19" w14:textId="7681F294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 xml:space="preserve">Probes in the </w:t>
            </w:r>
            <w:r w:rsidRPr="00D31A23">
              <w:rPr>
                <w:b/>
                <w:bCs/>
                <w:i/>
                <w:iCs/>
              </w:rPr>
              <w:t>xz</w:t>
            </w:r>
            <w:r w:rsidRPr="00F92A0B">
              <w:rPr>
                <w:b/>
                <w:bCs/>
              </w:rPr>
              <w:t xml:space="preserve"> plane</w:t>
            </w:r>
            <w:r>
              <w:rPr>
                <w:b/>
                <w:bCs/>
              </w:rPr>
              <w:t xml:space="preserve"> </w:t>
            </w:r>
            <w:r w:rsidR="009A0B85">
              <w:rPr>
                <w:b/>
                <w:bCs/>
              </w:rPr>
              <w:t>symmetric to z axis</w:t>
            </w:r>
          </w:p>
        </w:tc>
      </w:tr>
      <w:tr w:rsidR="00F31B3D" w14:paraId="62213E83" w14:textId="77777777" w:rsidTr="00742D25">
        <w:tc>
          <w:tcPr>
            <w:tcW w:w="1440" w:type="dxa"/>
            <w:vAlign w:val="center"/>
          </w:tcPr>
          <w:p w14:paraId="2BE26CBE" w14:textId="7244133F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 w:rsidRPr="00F92A0B">
              <w:rPr>
                <w:b/>
                <w:bCs/>
              </w:rPr>
              <w:t>System Configuration</w:t>
            </w:r>
            <w:r>
              <w:rPr>
                <w:b/>
                <w:bCs/>
              </w:rPr>
              <w:t xml:space="preserve"> </w:t>
            </w:r>
          </w:p>
        </w:tc>
        <w:tc>
          <w:tcPr>
            <w:tcW w:w="4585" w:type="dxa"/>
            <w:vAlign w:val="bottom"/>
          </w:tcPr>
          <w:p w14:paraId="287285DF" w14:textId="5DD8E51E" w:rsidR="00F31B3D" w:rsidRDefault="00F31B3D" w:rsidP="00F31B3D">
            <w:pPr>
              <w:tabs>
                <w:tab w:val="left" w:pos="810"/>
              </w:tabs>
              <w:jc w:val="center"/>
            </w:pPr>
            <w:r w:rsidRPr="00971B82">
              <w:rPr>
                <w:noProof/>
              </w:rPr>
              <w:drawing>
                <wp:inline distT="0" distB="0" distL="0" distR="0" wp14:anchorId="64DA9E0B" wp14:editId="16F3BBE6">
                  <wp:extent cx="2867234" cy="164592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234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44" w:type="dxa"/>
            <w:vAlign w:val="bottom"/>
          </w:tcPr>
          <w:p w14:paraId="6AC8F01C" w14:textId="606DDF5F" w:rsidR="008A3500" w:rsidRDefault="004355BB" w:rsidP="008A3500">
            <w:r w:rsidRPr="00470737">
              <w:rPr>
                <w:noProof/>
              </w:rPr>
              <w:drawing>
                <wp:inline distT="0" distB="0" distL="0" distR="0" wp14:anchorId="721F227D" wp14:editId="45A9D9B4">
                  <wp:extent cx="1982270" cy="164592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2270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3500" w:rsidRPr="00D5329A">
              <w:rPr>
                <w:noProof/>
              </w:rPr>
              <w:drawing>
                <wp:inline distT="0" distB="0" distL="0" distR="0" wp14:anchorId="39B04ED2" wp14:editId="3DBEC418">
                  <wp:extent cx="1881716" cy="1645920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716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A3500" w:rsidRPr="001751B1">
              <w:rPr>
                <w:noProof/>
              </w:rPr>
              <w:drawing>
                <wp:inline distT="0" distB="0" distL="0" distR="0" wp14:anchorId="31CE7487" wp14:editId="4085C861">
                  <wp:extent cx="1668682" cy="1645920"/>
                  <wp:effectExtent l="0" t="0" r="825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8682" cy="164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86957A" w14:textId="677AED87" w:rsidR="00F31B3D" w:rsidRDefault="00F31B3D" w:rsidP="00F31B3D">
            <w:pPr>
              <w:tabs>
                <w:tab w:val="left" w:pos="810"/>
              </w:tabs>
              <w:jc w:val="center"/>
            </w:pPr>
          </w:p>
        </w:tc>
      </w:tr>
      <w:tr w:rsidR="00F31B3D" w14:paraId="562D794B" w14:textId="77777777" w:rsidTr="00742D25">
        <w:tc>
          <w:tcPr>
            <w:tcW w:w="1440" w:type="dxa"/>
            <w:vAlign w:val="center"/>
          </w:tcPr>
          <w:p w14:paraId="30681596" w14:textId="77777777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Orientation between Probes P0 and P60</w:t>
            </w:r>
          </w:p>
        </w:tc>
        <w:tc>
          <w:tcPr>
            <w:tcW w:w="4585" w:type="dxa"/>
          </w:tcPr>
          <w:p w14:paraId="2410E7D9" w14:textId="39AEB81F" w:rsidR="00F31B3D" w:rsidRDefault="006F5C73" w:rsidP="00F31B3D">
            <w:pPr>
              <w:tabs>
                <w:tab w:val="left" w:pos="810"/>
              </w:tabs>
              <w:jc w:val="center"/>
            </w:pPr>
            <w:r w:rsidRPr="006F5C73">
              <w:rPr>
                <w:noProof/>
              </w:rPr>
              <w:drawing>
                <wp:inline distT="0" distB="0" distL="0" distR="0" wp14:anchorId="703AB06A" wp14:editId="3A9F3EA2">
                  <wp:extent cx="1983852" cy="194732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3785" t="30934" r="25279"/>
                          <a:stretch/>
                        </pic:blipFill>
                        <pic:spPr bwMode="auto">
                          <a:xfrm>
                            <a:off x="0" y="0"/>
                            <a:ext cx="1984652" cy="1948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44" w:type="dxa"/>
          </w:tcPr>
          <w:p w14:paraId="379B26D5" w14:textId="64087DB6" w:rsidR="00F31B3D" w:rsidRDefault="002B4EC1" w:rsidP="00F31B3D">
            <w:pPr>
              <w:tabs>
                <w:tab w:val="left" w:pos="810"/>
              </w:tabs>
              <w:jc w:val="center"/>
            </w:pPr>
            <w:r w:rsidRPr="002B4EC1">
              <w:rPr>
                <w:noProof/>
              </w:rPr>
              <w:drawing>
                <wp:inline distT="0" distB="0" distL="0" distR="0" wp14:anchorId="38A2287F" wp14:editId="72FD9CA8">
                  <wp:extent cx="2002117" cy="1923767"/>
                  <wp:effectExtent l="0" t="0" r="0" b="63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9827" t="31782" r="21902"/>
                          <a:stretch/>
                        </pic:blipFill>
                        <pic:spPr bwMode="auto">
                          <a:xfrm>
                            <a:off x="0" y="0"/>
                            <a:ext cx="2002567" cy="192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B3D" w14:paraId="1F61F1BF" w14:textId="77777777" w:rsidTr="00742D25">
        <w:tc>
          <w:tcPr>
            <w:tcW w:w="1440" w:type="dxa"/>
            <w:vAlign w:val="center"/>
          </w:tcPr>
          <w:p w14:paraId="299309C4" w14:textId="77777777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 xml:space="preserve">Orientation between Probes P0 and </w:t>
            </w:r>
            <w:r w:rsidRPr="00F92A0B">
              <w:rPr>
                <w:b/>
                <w:bCs/>
              </w:rPr>
              <w:t>P120</w:t>
            </w:r>
          </w:p>
        </w:tc>
        <w:tc>
          <w:tcPr>
            <w:tcW w:w="4585" w:type="dxa"/>
          </w:tcPr>
          <w:p w14:paraId="08EA5DAD" w14:textId="79CFB571" w:rsidR="00F31B3D" w:rsidRDefault="006C71A3" w:rsidP="00F31B3D">
            <w:pPr>
              <w:tabs>
                <w:tab w:val="left" w:pos="810"/>
              </w:tabs>
              <w:jc w:val="center"/>
            </w:pPr>
            <w:r w:rsidRPr="006C71A3">
              <w:rPr>
                <w:noProof/>
              </w:rPr>
              <w:drawing>
                <wp:inline distT="0" distB="0" distL="0" distR="0" wp14:anchorId="04C651D4" wp14:editId="0A504151">
                  <wp:extent cx="1995954" cy="1941695"/>
                  <wp:effectExtent l="0" t="0" r="4445" b="190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177" t="31147" r="21731"/>
                          <a:stretch/>
                        </pic:blipFill>
                        <pic:spPr bwMode="auto">
                          <a:xfrm>
                            <a:off x="0" y="0"/>
                            <a:ext cx="1996400" cy="1942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44" w:type="dxa"/>
          </w:tcPr>
          <w:p w14:paraId="2218758A" w14:textId="1F82FE00" w:rsidR="00F31B3D" w:rsidRDefault="00211B68" w:rsidP="00F31B3D">
            <w:pPr>
              <w:tabs>
                <w:tab w:val="left" w:pos="810"/>
              </w:tabs>
              <w:jc w:val="center"/>
            </w:pPr>
            <w:r w:rsidRPr="00211B68">
              <w:rPr>
                <w:noProof/>
              </w:rPr>
              <w:drawing>
                <wp:inline distT="0" distB="0" distL="0" distR="0" wp14:anchorId="6FFD0E5F" wp14:editId="62B211FD">
                  <wp:extent cx="1996141" cy="1929545"/>
                  <wp:effectExtent l="0" t="0" r="444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004" t="31570" r="21893"/>
                          <a:stretch/>
                        </pic:blipFill>
                        <pic:spPr bwMode="auto">
                          <a:xfrm>
                            <a:off x="0" y="0"/>
                            <a:ext cx="1996794" cy="1930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1B3D" w14:paraId="1DD50499" w14:textId="77777777" w:rsidTr="00742D25">
        <w:tc>
          <w:tcPr>
            <w:tcW w:w="1440" w:type="dxa"/>
            <w:vAlign w:val="center"/>
          </w:tcPr>
          <w:p w14:paraId="0B83F239" w14:textId="77777777" w:rsidR="00F31B3D" w:rsidRPr="00F92A0B" w:rsidRDefault="00F31B3D" w:rsidP="00F31B3D">
            <w:pPr>
              <w:tabs>
                <w:tab w:val="left" w:pos="810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Orientation between Probes P0 and</w:t>
            </w:r>
            <w:r w:rsidRPr="00F92A0B">
              <w:rPr>
                <w:b/>
                <w:bCs/>
              </w:rPr>
              <w:t xml:space="preserve"> P1</w:t>
            </w:r>
            <w:r>
              <w:rPr>
                <w:b/>
                <w:bCs/>
              </w:rPr>
              <w:t>5</w:t>
            </w:r>
            <w:r w:rsidRPr="00F92A0B">
              <w:rPr>
                <w:b/>
                <w:bCs/>
              </w:rPr>
              <w:t>0</w:t>
            </w:r>
          </w:p>
        </w:tc>
        <w:tc>
          <w:tcPr>
            <w:tcW w:w="4585" w:type="dxa"/>
          </w:tcPr>
          <w:p w14:paraId="5FF03345" w14:textId="0230DF29" w:rsidR="00F31B3D" w:rsidRDefault="00080A82" w:rsidP="00F31B3D">
            <w:pPr>
              <w:tabs>
                <w:tab w:val="left" w:pos="810"/>
              </w:tabs>
              <w:jc w:val="center"/>
            </w:pPr>
            <w:r w:rsidRPr="00080A82">
              <w:rPr>
                <w:noProof/>
              </w:rPr>
              <w:drawing>
                <wp:inline distT="0" distB="0" distL="0" distR="0" wp14:anchorId="43DB8E59" wp14:editId="3BB84464">
                  <wp:extent cx="2001781" cy="1923810"/>
                  <wp:effectExtent l="0" t="0" r="0" b="63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0174" t="31782" r="22560"/>
                          <a:stretch/>
                        </pic:blipFill>
                        <pic:spPr bwMode="auto">
                          <a:xfrm>
                            <a:off x="0" y="0"/>
                            <a:ext cx="2002185" cy="1924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44" w:type="dxa"/>
          </w:tcPr>
          <w:p w14:paraId="1CEBD19C" w14:textId="72A5DAB0" w:rsidR="00F31B3D" w:rsidRDefault="00D178FC" w:rsidP="00F31B3D">
            <w:pPr>
              <w:tabs>
                <w:tab w:val="left" w:pos="810"/>
              </w:tabs>
              <w:jc w:val="center"/>
            </w:pPr>
            <w:r w:rsidRPr="00D178FC">
              <w:rPr>
                <w:noProof/>
              </w:rPr>
              <w:drawing>
                <wp:inline distT="0" distB="0" distL="0" distR="0" wp14:anchorId="5FC39223" wp14:editId="7BFB5A9B">
                  <wp:extent cx="2001557" cy="1935710"/>
                  <wp:effectExtent l="0" t="0" r="0" b="762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19830" t="31358" r="21915"/>
                          <a:stretch/>
                        </pic:blipFill>
                        <pic:spPr bwMode="auto">
                          <a:xfrm>
                            <a:off x="0" y="0"/>
                            <a:ext cx="2002014" cy="1936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1E1A88" w14:textId="77777777" w:rsidR="00F775AD" w:rsidRDefault="00F775AD" w:rsidP="00F775AD">
      <w:pPr>
        <w:tabs>
          <w:tab w:val="left" w:pos="810"/>
        </w:tabs>
        <w:spacing w:after="0"/>
      </w:pPr>
      <w:r>
        <w:br w:type="page"/>
      </w:r>
    </w:p>
    <w:p w14:paraId="30605201" w14:textId="77777777" w:rsidR="00F775AD" w:rsidRDefault="00F775AD" w:rsidP="00E271FC">
      <w:pPr>
        <w:sectPr w:rsidR="00F775AD" w:rsidSect="00FC2CA7">
          <w:footnotePr>
            <w:numRestart w:val="eachSect"/>
          </w:footnotePr>
          <w:pgSz w:w="16840" w:h="11907" w:orient="landscape" w:code="9"/>
          <w:pgMar w:top="1133" w:right="1416" w:bottom="1133" w:left="1133" w:header="850" w:footer="340" w:gutter="0"/>
          <w:cols w:space="720"/>
          <w:formProt w:val="0"/>
          <w:docGrid w:linePitch="272"/>
        </w:sectPr>
      </w:pPr>
    </w:p>
    <w:bookmarkEnd w:id="1"/>
    <w:bookmarkEnd w:id="2"/>
    <w:p w14:paraId="701A1CDC" w14:textId="77777777" w:rsidR="00F6267E" w:rsidRDefault="00F6267E" w:rsidP="00A2425C">
      <w:pPr>
        <w:pStyle w:val="Heading1"/>
        <w:ind w:left="0" w:firstLine="0"/>
      </w:pPr>
      <w:r>
        <w:lastRenderedPageBreak/>
        <w:t>Conclusion</w:t>
      </w:r>
    </w:p>
    <w:p w14:paraId="41FA10DA" w14:textId="0EE49D06" w:rsidR="00734F28" w:rsidRDefault="00F6267E" w:rsidP="00F6267E">
      <w:r>
        <w:t xml:space="preserve">The </w:t>
      </w:r>
      <w:r w:rsidR="00734F28">
        <w:t xml:space="preserve">following observations and conclusions were made in this contribution. </w:t>
      </w:r>
    </w:p>
    <w:p w14:paraId="2838CF01" w14:textId="600AC32B" w:rsidR="00B55803" w:rsidRPr="00B55803" w:rsidRDefault="00B55803" w:rsidP="00F6267E">
      <w:pPr>
        <w:rPr>
          <w:b/>
          <w:bCs/>
        </w:rPr>
      </w:pPr>
      <w:r w:rsidRPr="00B55803">
        <w:rPr>
          <w:b/>
          <w:bCs/>
        </w:rPr>
        <w:fldChar w:fldCharType="begin"/>
      </w:r>
      <w:r w:rsidRPr="00B55803">
        <w:rPr>
          <w:b/>
          <w:bCs/>
        </w:rPr>
        <w:instrText xml:space="preserve"> REF _Ref135042201 \h </w:instrText>
      </w:r>
      <w:r w:rsidRPr="00B55803">
        <w:rPr>
          <w:b/>
          <w:bCs/>
        </w:rPr>
      </w:r>
      <w:r w:rsidRPr="00B55803">
        <w:rPr>
          <w:b/>
          <w:bCs/>
        </w:rPr>
        <w:instrText xml:space="preserve"> \* MERGEFORMAT </w:instrText>
      </w:r>
      <w:r w:rsidRPr="00B55803">
        <w:rPr>
          <w:b/>
          <w:bCs/>
        </w:rPr>
        <w:fldChar w:fldCharType="separate"/>
      </w:r>
      <w:r w:rsidRPr="00B55803">
        <w:rPr>
          <w:b/>
          <w:bCs/>
        </w:rPr>
        <w:t xml:space="preserve">Proposal </w:t>
      </w:r>
      <w:r w:rsidRPr="00B55803">
        <w:rPr>
          <w:b/>
          <w:bCs/>
          <w:noProof/>
        </w:rPr>
        <w:t>1</w:t>
      </w:r>
      <w:r w:rsidRPr="00B55803">
        <w:rPr>
          <w:b/>
          <w:bCs/>
        </w:rPr>
        <w:t>: Consider the previous agreement for absolute probe locations for UE RF testing unnecessary for multi-Rx UE RF testing using the proposed test system and testing methodology.</w:t>
      </w:r>
      <w:r w:rsidRPr="00B55803">
        <w:rPr>
          <w:b/>
          <w:bCs/>
        </w:rPr>
        <w:fldChar w:fldCharType="end"/>
      </w:r>
    </w:p>
    <w:p w14:paraId="6D513929" w14:textId="17EE2A68" w:rsidR="00B55803" w:rsidRPr="00B55803" w:rsidRDefault="00B55803" w:rsidP="00F6267E">
      <w:pPr>
        <w:rPr>
          <w:b/>
          <w:bCs/>
        </w:rPr>
      </w:pPr>
      <w:r w:rsidRPr="00B55803">
        <w:rPr>
          <w:b/>
          <w:bCs/>
        </w:rPr>
        <w:fldChar w:fldCharType="begin"/>
      </w:r>
      <w:r w:rsidRPr="00B55803">
        <w:rPr>
          <w:b/>
          <w:bCs/>
        </w:rPr>
        <w:instrText xml:space="preserve"> REF _Ref135042202 \h </w:instrText>
      </w:r>
      <w:r w:rsidRPr="00B55803">
        <w:rPr>
          <w:b/>
          <w:bCs/>
        </w:rPr>
      </w:r>
      <w:r w:rsidRPr="00B55803">
        <w:rPr>
          <w:b/>
          <w:bCs/>
        </w:rPr>
        <w:instrText xml:space="preserve"> \* MERGEFORMAT </w:instrText>
      </w:r>
      <w:r w:rsidRPr="00B55803">
        <w:rPr>
          <w:b/>
          <w:bCs/>
        </w:rPr>
        <w:fldChar w:fldCharType="separate"/>
      </w:r>
      <w:r w:rsidRPr="00B55803">
        <w:rPr>
          <w:b/>
          <w:bCs/>
        </w:rPr>
        <w:t xml:space="preserve">Proposal </w:t>
      </w:r>
      <w:r w:rsidRPr="00B55803">
        <w:rPr>
          <w:b/>
          <w:bCs/>
          <w:noProof/>
        </w:rPr>
        <w:t>2</w:t>
      </w:r>
      <w:r w:rsidRPr="00B55803">
        <w:rPr>
          <w:b/>
          <w:bCs/>
        </w:rPr>
        <w:t xml:space="preserve">: </w:t>
      </w:r>
      <w:r w:rsidRPr="00B55803">
        <w:rPr>
          <w:b/>
          <w:bCs/>
        </w:rPr>
        <w:t xml:space="preserve">Consider any 2 AoA RRM test system with probes in the </w:t>
      </w:r>
      <w:r w:rsidRPr="00B55803">
        <w:rPr>
          <w:b/>
          <w:bCs/>
          <w:i/>
          <w:iCs/>
        </w:rPr>
        <w:t>xz</w:t>
      </w:r>
      <w:r w:rsidRPr="00B55803">
        <w:rPr>
          <w:b/>
          <w:bCs/>
        </w:rPr>
        <w:t xml:space="preserve"> plane and the required relative angular offsets for </w:t>
      </w:r>
      <w:proofErr w:type="gramStart"/>
      <w:r w:rsidRPr="00B55803">
        <w:rPr>
          <w:b/>
          <w:bCs/>
        </w:rPr>
        <w:t>Multi-Rx</w:t>
      </w:r>
      <w:proofErr w:type="gramEnd"/>
      <w:r w:rsidRPr="00B55803">
        <w:rPr>
          <w:b/>
          <w:bCs/>
        </w:rPr>
        <w:t xml:space="preserve"> testing suitable for Multi-Rx OTA spherical coverage test cases.</w:t>
      </w:r>
      <w:r w:rsidRPr="00B55803">
        <w:rPr>
          <w:b/>
          <w:bCs/>
        </w:rPr>
        <w:fldChar w:fldCharType="end"/>
      </w:r>
    </w:p>
    <w:p w14:paraId="5CCB1538" w14:textId="77777777" w:rsidR="00CB54AD" w:rsidRDefault="00CB54AD" w:rsidP="00A2425C">
      <w:pPr>
        <w:pStyle w:val="Heading1"/>
        <w:ind w:left="0" w:firstLine="0"/>
      </w:pPr>
      <w:r>
        <w:t>References</w:t>
      </w:r>
    </w:p>
    <w:p w14:paraId="4DCD9F6E" w14:textId="0132437B" w:rsidR="00CC5A8F" w:rsidRDefault="004B3BE7" w:rsidP="007554E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0" w:name="_Ref134424982"/>
      <w:r w:rsidRPr="004B3BE7">
        <w:t>R4-2219851</w:t>
      </w:r>
      <w:r>
        <w:t xml:space="preserve">, </w:t>
      </w:r>
      <w:r w:rsidR="004D2267" w:rsidRPr="004D2267">
        <w:t>Testing Considerations for Multi AoA Rx Testing</w:t>
      </w:r>
      <w:r w:rsidR="004D2267">
        <w:t xml:space="preserve">, Keysight Technologies, </w:t>
      </w:r>
      <w:r w:rsidR="00CC5A8F" w:rsidRPr="00CC5A8F">
        <w:t>3GPP TSG-RAN4 Meeting #105</w:t>
      </w:r>
      <w:r w:rsidR="00CC5A8F">
        <w:t>, November 2022</w:t>
      </w:r>
      <w:bookmarkEnd w:id="10"/>
    </w:p>
    <w:p w14:paraId="57E68977" w14:textId="7E547426" w:rsidR="003404F4" w:rsidRDefault="007554E7" w:rsidP="007554E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r w:rsidRPr="007554E7">
        <w:t>R4-2220264</w:t>
      </w:r>
      <w:r>
        <w:t xml:space="preserve">, </w:t>
      </w:r>
      <w:r w:rsidR="00925BC5" w:rsidRPr="00925BC5">
        <w:t>WF for FR2 OTA test SI</w:t>
      </w:r>
      <w:r w:rsidR="00925BC5">
        <w:t xml:space="preserve">, </w:t>
      </w:r>
      <w:r w:rsidR="00A76ACF" w:rsidRPr="00A76ACF">
        <w:t>Qualcomm</w:t>
      </w:r>
      <w:r w:rsidR="00A76ACF">
        <w:t xml:space="preserve">, </w:t>
      </w:r>
      <w:r w:rsidR="00476405" w:rsidRPr="00476405">
        <w:t>3GPP TSG-RAN WG4 Meeting #105</w:t>
      </w:r>
      <w:r w:rsidR="00476405">
        <w:t>, November 2022</w:t>
      </w:r>
    </w:p>
    <w:p w14:paraId="08F8BE8F" w14:textId="6B46B157" w:rsidR="00FC0F44" w:rsidRDefault="00DF583E" w:rsidP="007554E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1" w:name="_Ref134427328"/>
      <w:r w:rsidRPr="00DF583E">
        <w:t>R4-2302520</w:t>
      </w:r>
      <w:r>
        <w:t xml:space="preserve">, </w:t>
      </w:r>
      <w:r w:rsidR="002A0618" w:rsidRPr="002A0618">
        <w:t>Testing Considerations for Multi AoA Rx Testing</w:t>
      </w:r>
      <w:r w:rsidR="002A0618">
        <w:t xml:space="preserve">, </w:t>
      </w:r>
      <w:r w:rsidR="00EC1AE8">
        <w:t xml:space="preserve">Keysight Technologies, </w:t>
      </w:r>
      <w:r w:rsidR="00EC1AE8" w:rsidRPr="00EC1AE8">
        <w:t>3GPP TSG-RAN4 Meeting #106</w:t>
      </w:r>
      <w:r w:rsidR="00EC1AE8">
        <w:t>, February 2023</w:t>
      </w:r>
      <w:bookmarkEnd w:id="11"/>
    </w:p>
    <w:p w14:paraId="120E59F5" w14:textId="5F4C928F" w:rsidR="00746973" w:rsidRDefault="00746973" w:rsidP="00C23263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2" w:name="_Ref134427414"/>
      <w:r>
        <w:t xml:space="preserve">TR 38.871, </w:t>
      </w:r>
      <w:r w:rsidR="009358B8">
        <w:t>Study on NR frequency range 2 (FR2) Over-the-Air (OTA) testing enhancements</w:t>
      </w:r>
      <w:bookmarkEnd w:id="12"/>
    </w:p>
    <w:p w14:paraId="2B94AB42" w14:textId="70ED9381" w:rsidR="00F41DA7" w:rsidRPr="00354167" w:rsidRDefault="00F41DA7" w:rsidP="007554E7">
      <w:pPr>
        <w:numPr>
          <w:ilvl w:val="0"/>
          <w:numId w:val="5"/>
        </w:numPr>
        <w:tabs>
          <w:tab w:val="left" w:pos="426"/>
        </w:tabs>
        <w:overflowPunct w:val="0"/>
        <w:autoSpaceDE w:val="0"/>
        <w:autoSpaceDN w:val="0"/>
        <w:adjustRightInd w:val="0"/>
        <w:textAlignment w:val="baseline"/>
      </w:pPr>
      <w:bookmarkStart w:id="13" w:name="_Ref134427098"/>
      <w:r w:rsidRPr="00F41DA7">
        <w:t>R4-2300087</w:t>
      </w:r>
      <w:r>
        <w:t xml:space="preserve">, </w:t>
      </w:r>
      <w:r w:rsidR="003B3922" w:rsidRPr="003B3922">
        <w:t>On test method for FR2 multi-Rx UE</w:t>
      </w:r>
      <w:r w:rsidR="003B3922">
        <w:t xml:space="preserve">, Qualcomm, </w:t>
      </w:r>
      <w:r w:rsidR="000F08AC" w:rsidRPr="000F08AC">
        <w:t>3GPP TSG-RAN WG4 Meeting # 106</w:t>
      </w:r>
      <w:r w:rsidR="000F08AC">
        <w:t xml:space="preserve">, </w:t>
      </w:r>
      <w:r w:rsidR="00492CD6">
        <w:t>February 2023</w:t>
      </w:r>
      <w:bookmarkEnd w:id="13"/>
    </w:p>
    <w:sectPr w:rsidR="00F41DA7" w:rsidRPr="00354167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335FEA" w14:textId="77777777" w:rsidR="000976E2" w:rsidRDefault="000976E2">
      <w:r>
        <w:separator/>
      </w:r>
    </w:p>
  </w:endnote>
  <w:endnote w:type="continuationSeparator" w:id="0">
    <w:p w14:paraId="4D1DA2C6" w14:textId="77777777" w:rsidR="000976E2" w:rsidRDefault="000976E2">
      <w:r>
        <w:continuationSeparator/>
      </w:r>
    </w:p>
  </w:endnote>
  <w:endnote w:type="continuationNotice" w:id="1">
    <w:p w14:paraId="14303AA1" w14:textId="77777777" w:rsidR="000976E2" w:rsidRDefault="000976E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AB2A14" w14:textId="77777777" w:rsidR="000976E2" w:rsidRDefault="000976E2">
      <w:r>
        <w:separator/>
      </w:r>
    </w:p>
  </w:footnote>
  <w:footnote w:type="continuationSeparator" w:id="0">
    <w:p w14:paraId="564A7EBB" w14:textId="77777777" w:rsidR="000976E2" w:rsidRDefault="000976E2">
      <w:r>
        <w:continuationSeparator/>
      </w:r>
    </w:p>
  </w:footnote>
  <w:footnote w:type="continuationNotice" w:id="1">
    <w:p w14:paraId="4D6C59E9" w14:textId="77777777" w:rsidR="000976E2" w:rsidRDefault="000976E2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0666456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DB08AA"/>
    <w:multiLevelType w:val="hybridMultilevel"/>
    <w:tmpl w:val="3E662900"/>
    <w:lvl w:ilvl="0" w:tplc="28B059E4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0666181C"/>
    <w:multiLevelType w:val="hybridMultilevel"/>
    <w:tmpl w:val="07A6DB42"/>
    <w:lvl w:ilvl="0" w:tplc="D966B1D0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223FD9"/>
    <w:multiLevelType w:val="hybridMultilevel"/>
    <w:tmpl w:val="4A10A75A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E24C13"/>
    <w:multiLevelType w:val="multilevel"/>
    <w:tmpl w:val="631EFFF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 w15:restartNumberingAfterBreak="0">
    <w:nsid w:val="0B503B7A"/>
    <w:multiLevelType w:val="hybridMultilevel"/>
    <w:tmpl w:val="BD586678"/>
    <w:lvl w:ilvl="0" w:tplc="4C12E084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CBF39AA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2226ED"/>
    <w:multiLevelType w:val="hybridMultilevel"/>
    <w:tmpl w:val="F83EF10A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0" w15:restartNumberingAfterBreak="0">
    <w:nsid w:val="18AF1A27"/>
    <w:multiLevelType w:val="hybridMultilevel"/>
    <w:tmpl w:val="202483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8DB2C5A"/>
    <w:multiLevelType w:val="hybridMultilevel"/>
    <w:tmpl w:val="87649F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C2739AE"/>
    <w:multiLevelType w:val="hybridMultilevel"/>
    <w:tmpl w:val="EC7040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54137F"/>
    <w:multiLevelType w:val="hybridMultilevel"/>
    <w:tmpl w:val="FE361CB8"/>
    <w:lvl w:ilvl="0" w:tplc="7658980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14" w15:restartNumberingAfterBreak="0">
    <w:nsid w:val="23A538C6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226F28"/>
    <w:multiLevelType w:val="hybridMultilevel"/>
    <w:tmpl w:val="51CA03AE"/>
    <w:lvl w:ilvl="0" w:tplc="3CDAE568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8DD4DEE"/>
    <w:multiLevelType w:val="hybridMultilevel"/>
    <w:tmpl w:val="BB72AB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B262B9"/>
    <w:multiLevelType w:val="hybridMultilevel"/>
    <w:tmpl w:val="2876AC88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8" w15:restartNumberingAfterBreak="0">
    <w:nsid w:val="2FB90FE0"/>
    <w:multiLevelType w:val="hybridMultilevel"/>
    <w:tmpl w:val="7042F844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9" w15:restartNumberingAfterBreak="0">
    <w:nsid w:val="303F0E4B"/>
    <w:multiLevelType w:val="hybridMultilevel"/>
    <w:tmpl w:val="EF7043DC"/>
    <w:lvl w:ilvl="0" w:tplc="4C12E084">
      <w:start w:val="1"/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DB7C52"/>
    <w:multiLevelType w:val="hybridMultilevel"/>
    <w:tmpl w:val="6EDAFBBE"/>
    <w:lvl w:ilvl="0" w:tplc="9E906C0E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1F66644"/>
    <w:multiLevelType w:val="hybridMultilevel"/>
    <w:tmpl w:val="AB7E9A0C"/>
    <w:lvl w:ilvl="0" w:tplc="08CA9708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AD45B2"/>
    <w:multiLevelType w:val="hybridMultilevel"/>
    <w:tmpl w:val="C27EDD4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B310CA"/>
    <w:multiLevelType w:val="hybridMultilevel"/>
    <w:tmpl w:val="E91C9C38"/>
    <w:lvl w:ilvl="0" w:tplc="F9B2D41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52926202"/>
    <w:multiLevelType w:val="hybridMultilevel"/>
    <w:tmpl w:val="7AAEF1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3551B73"/>
    <w:multiLevelType w:val="hybridMultilevel"/>
    <w:tmpl w:val="94AAE54A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8" w15:restartNumberingAfterBreak="0">
    <w:nsid w:val="5CCE2026"/>
    <w:multiLevelType w:val="hybridMultilevel"/>
    <w:tmpl w:val="5CDCE522"/>
    <w:lvl w:ilvl="0" w:tplc="4D30C1E0">
      <w:start w:val="8"/>
      <w:numFmt w:val="bullet"/>
      <w:lvlText w:val="-"/>
      <w:lvlJc w:val="left"/>
      <w:pPr>
        <w:ind w:left="645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9" w15:restartNumberingAfterBreak="0">
    <w:nsid w:val="64490F04"/>
    <w:multiLevelType w:val="hybridMultilevel"/>
    <w:tmpl w:val="8946B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E76B8C"/>
    <w:multiLevelType w:val="hybridMultilevel"/>
    <w:tmpl w:val="E3548F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0F41E5"/>
    <w:multiLevelType w:val="hybridMultilevel"/>
    <w:tmpl w:val="75ACDCBA"/>
    <w:lvl w:ilvl="0" w:tplc="8332BD36">
      <w:start w:val="1"/>
      <w:numFmt w:val="lowerLetter"/>
      <w:lvlText w:val="(%1)"/>
      <w:lvlJc w:val="left"/>
      <w:pPr>
        <w:ind w:left="43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056" w:hanging="360"/>
      </w:pPr>
    </w:lvl>
    <w:lvl w:ilvl="2" w:tplc="0409001B" w:tentative="1">
      <w:start w:val="1"/>
      <w:numFmt w:val="lowerRoman"/>
      <w:lvlText w:val="%3."/>
      <w:lvlJc w:val="right"/>
      <w:pPr>
        <w:ind w:left="5776" w:hanging="180"/>
      </w:pPr>
    </w:lvl>
    <w:lvl w:ilvl="3" w:tplc="0409000F" w:tentative="1">
      <w:start w:val="1"/>
      <w:numFmt w:val="decimal"/>
      <w:lvlText w:val="%4."/>
      <w:lvlJc w:val="left"/>
      <w:pPr>
        <w:ind w:left="6496" w:hanging="360"/>
      </w:pPr>
    </w:lvl>
    <w:lvl w:ilvl="4" w:tplc="04090019" w:tentative="1">
      <w:start w:val="1"/>
      <w:numFmt w:val="lowerLetter"/>
      <w:lvlText w:val="%5."/>
      <w:lvlJc w:val="left"/>
      <w:pPr>
        <w:ind w:left="7216" w:hanging="360"/>
      </w:pPr>
    </w:lvl>
    <w:lvl w:ilvl="5" w:tplc="0409001B" w:tentative="1">
      <w:start w:val="1"/>
      <w:numFmt w:val="lowerRoman"/>
      <w:lvlText w:val="%6."/>
      <w:lvlJc w:val="right"/>
      <w:pPr>
        <w:ind w:left="7936" w:hanging="180"/>
      </w:pPr>
    </w:lvl>
    <w:lvl w:ilvl="6" w:tplc="0409000F" w:tentative="1">
      <w:start w:val="1"/>
      <w:numFmt w:val="decimal"/>
      <w:lvlText w:val="%7."/>
      <w:lvlJc w:val="left"/>
      <w:pPr>
        <w:ind w:left="8656" w:hanging="360"/>
      </w:pPr>
    </w:lvl>
    <w:lvl w:ilvl="7" w:tplc="04090019" w:tentative="1">
      <w:start w:val="1"/>
      <w:numFmt w:val="lowerLetter"/>
      <w:lvlText w:val="%8."/>
      <w:lvlJc w:val="left"/>
      <w:pPr>
        <w:ind w:left="9376" w:hanging="360"/>
      </w:pPr>
    </w:lvl>
    <w:lvl w:ilvl="8" w:tplc="0409001B" w:tentative="1">
      <w:start w:val="1"/>
      <w:numFmt w:val="lowerRoman"/>
      <w:lvlText w:val="%9."/>
      <w:lvlJc w:val="right"/>
      <w:pPr>
        <w:ind w:left="10096" w:hanging="180"/>
      </w:pPr>
    </w:lvl>
  </w:abstractNum>
  <w:abstractNum w:abstractNumId="32" w15:restartNumberingAfterBreak="0">
    <w:nsid w:val="6F667D2D"/>
    <w:multiLevelType w:val="hybridMultilevel"/>
    <w:tmpl w:val="27A4186E"/>
    <w:lvl w:ilvl="0" w:tplc="C7047A3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C71936"/>
    <w:multiLevelType w:val="multilevel"/>
    <w:tmpl w:val="D5AA964C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4" w15:restartNumberingAfterBreak="0">
    <w:nsid w:val="73E01D70"/>
    <w:multiLevelType w:val="hybridMultilevel"/>
    <w:tmpl w:val="0B5E9126"/>
    <w:lvl w:ilvl="0" w:tplc="040A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35" w15:restartNumberingAfterBreak="0">
    <w:nsid w:val="78564103"/>
    <w:multiLevelType w:val="hybridMultilevel"/>
    <w:tmpl w:val="512805AC"/>
    <w:lvl w:ilvl="0" w:tplc="1DDAA902">
      <w:start w:val="8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85812A9"/>
    <w:multiLevelType w:val="hybridMultilevel"/>
    <w:tmpl w:val="633EA80C"/>
    <w:lvl w:ilvl="0" w:tplc="C874C154">
      <w:start w:val="11"/>
      <w:numFmt w:val="bullet"/>
      <w:lvlText w:val="-"/>
      <w:lvlJc w:val="left"/>
      <w:pPr>
        <w:ind w:left="928" w:hanging="360"/>
      </w:pPr>
      <w:rPr>
        <w:rFonts w:ascii="Times New Roman" w:eastAsia="Malgun Gothic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7" w15:restartNumberingAfterBreak="0">
    <w:nsid w:val="797B2CDA"/>
    <w:multiLevelType w:val="hybridMultilevel"/>
    <w:tmpl w:val="CC30DB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4E6228"/>
    <w:multiLevelType w:val="hybridMultilevel"/>
    <w:tmpl w:val="B84E15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90277924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901597403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783108378">
    <w:abstractNumId w:val="3"/>
  </w:num>
  <w:num w:numId="4" w16cid:durableId="1560246550">
    <w:abstractNumId w:val="36"/>
  </w:num>
  <w:num w:numId="5" w16cid:durableId="1915316065">
    <w:abstractNumId w:val="2"/>
  </w:num>
  <w:num w:numId="6" w16cid:durableId="417406821">
    <w:abstractNumId w:val="18"/>
  </w:num>
  <w:num w:numId="7" w16cid:durableId="603921104">
    <w:abstractNumId w:val="15"/>
  </w:num>
  <w:num w:numId="8" w16cid:durableId="1335261573">
    <w:abstractNumId w:val="10"/>
  </w:num>
  <w:num w:numId="9" w16cid:durableId="1464470065">
    <w:abstractNumId w:val="23"/>
  </w:num>
  <w:num w:numId="10" w16cid:durableId="496308269">
    <w:abstractNumId w:val="7"/>
  </w:num>
  <w:num w:numId="11" w16cid:durableId="1463233615">
    <w:abstractNumId w:val="29"/>
  </w:num>
  <w:num w:numId="12" w16cid:durableId="423458652">
    <w:abstractNumId w:val="13"/>
  </w:num>
  <w:num w:numId="13" w16cid:durableId="1161851675">
    <w:abstractNumId w:val="28"/>
  </w:num>
  <w:num w:numId="14" w16cid:durableId="9071901">
    <w:abstractNumId w:val="35"/>
  </w:num>
  <w:num w:numId="15" w16cid:durableId="1084718526">
    <w:abstractNumId w:val="12"/>
  </w:num>
  <w:num w:numId="16" w16cid:durableId="515996790">
    <w:abstractNumId w:val="34"/>
  </w:num>
  <w:num w:numId="17" w16cid:durableId="961113060">
    <w:abstractNumId w:val="9"/>
  </w:num>
  <w:num w:numId="18" w16cid:durableId="867109699">
    <w:abstractNumId w:val="25"/>
  </w:num>
  <w:num w:numId="19" w16cid:durableId="1825274695">
    <w:abstractNumId w:val="21"/>
  </w:num>
  <w:num w:numId="20" w16cid:durableId="1995524344">
    <w:abstractNumId w:val="26"/>
  </w:num>
  <w:num w:numId="21" w16cid:durableId="93672933">
    <w:abstractNumId w:val="33"/>
  </w:num>
  <w:num w:numId="22" w16cid:durableId="469172509">
    <w:abstractNumId w:val="24"/>
  </w:num>
  <w:num w:numId="23" w16cid:durableId="1179546305">
    <w:abstractNumId w:val="22"/>
  </w:num>
  <w:num w:numId="24" w16cid:durableId="679232884">
    <w:abstractNumId w:val="11"/>
  </w:num>
  <w:num w:numId="25" w16cid:durableId="1129058182">
    <w:abstractNumId w:val="5"/>
  </w:num>
  <w:num w:numId="26" w16cid:durableId="2094547373">
    <w:abstractNumId w:val="25"/>
  </w:num>
  <w:num w:numId="27" w16cid:durableId="1008289061">
    <w:abstractNumId w:val="25"/>
  </w:num>
  <w:num w:numId="28" w16cid:durableId="2143233623">
    <w:abstractNumId w:val="25"/>
  </w:num>
  <w:num w:numId="29" w16cid:durableId="1574505390">
    <w:abstractNumId w:val="19"/>
  </w:num>
  <w:num w:numId="30" w16cid:durableId="671028718">
    <w:abstractNumId w:val="17"/>
  </w:num>
  <w:num w:numId="31" w16cid:durableId="1955937069">
    <w:abstractNumId w:val="38"/>
  </w:num>
  <w:num w:numId="32" w16cid:durableId="568538944">
    <w:abstractNumId w:val="31"/>
  </w:num>
  <w:num w:numId="33" w16cid:durableId="1466508284">
    <w:abstractNumId w:val="37"/>
  </w:num>
  <w:num w:numId="34" w16cid:durableId="1070929017">
    <w:abstractNumId w:val="16"/>
  </w:num>
  <w:num w:numId="35" w16cid:durableId="2068991147">
    <w:abstractNumId w:val="8"/>
  </w:num>
  <w:num w:numId="36" w16cid:durableId="1627546098">
    <w:abstractNumId w:val="1"/>
  </w:num>
  <w:num w:numId="37" w16cid:durableId="475030788">
    <w:abstractNumId w:val="30"/>
  </w:num>
  <w:num w:numId="38" w16cid:durableId="16153140">
    <w:abstractNumId w:val="14"/>
  </w:num>
  <w:num w:numId="39" w16cid:durableId="1823152173">
    <w:abstractNumId w:val="4"/>
  </w:num>
  <w:num w:numId="40" w16cid:durableId="426386653">
    <w:abstractNumId w:val="32"/>
  </w:num>
  <w:num w:numId="41" w16cid:durableId="2069762685">
    <w:abstractNumId w:val="20"/>
  </w:num>
  <w:num w:numId="42" w16cid:durableId="1276525213">
    <w:abstractNumId w:val="6"/>
  </w:num>
  <w:num w:numId="43" w16cid:durableId="95212826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98"/>
  <w:removeDateAndTime/>
  <w:printFractionalCharacterWidth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213"/>
    <w:rsid w:val="00006800"/>
    <w:rsid w:val="000078E2"/>
    <w:rsid w:val="00011F6E"/>
    <w:rsid w:val="000136CE"/>
    <w:rsid w:val="00013946"/>
    <w:rsid w:val="00015E33"/>
    <w:rsid w:val="00017A04"/>
    <w:rsid w:val="00017C05"/>
    <w:rsid w:val="000200FB"/>
    <w:rsid w:val="0002191D"/>
    <w:rsid w:val="000262D5"/>
    <w:rsid w:val="000266A0"/>
    <w:rsid w:val="00026A7D"/>
    <w:rsid w:val="00031C1D"/>
    <w:rsid w:val="00032F36"/>
    <w:rsid w:val="00036AF0"/>
    <w:rsid w:val="000379D6"/>
    <w:rsid w:val="000418FC"/>
    <w:rsid w:val="00041BAF"/>
    <w:rsid w:val="000439E6"/>
    <w:rsid w:val="0004477C"/>
    <w:rsid w:val="0004678D"/>
    <w:rsid w:val="00052390"/>
    <w:rsid w:val="000547AB"/>
    <w:rsid w:val="00054CBC"/>
    <w:rsid w:val="0005509D"/>
    <w:rsid w:val="00055873"/>
    <w:rsid w:val="00056560"/>
    <w:rsid w:val="0005725C"/>
    <w:rsid w:val="000606FD"/>
    <w:rsid w:val="00064500"/>
    <w:rsid w:val="000713C9"/>
    <w:rsid w:val="000726B2"/>
    <w:rsid w:val="00077333"/>
    <w:rsid w:val="00080A82"/>
    <w:rsid w:val="00082566"/>
    <w:rsid w:val="000833ED"/>
    <w:rsid w:val="00083540"/>
    <w:rsid w:val="00084983"/>
    <w:rsid w:val="00087F53"/>
    <w:rsid w:val="00093E7E"/>
    <w:rsid w:val="00096EE4"/>
    <w:rsid w:val="000976E2"/>
    <w:rsid w:val="000A12C7"/>
    <w:rsid w:val="000A2A86"/>
    <w:rsid w:val="000A43B4"/>
    <w:rsid w:val="000B25D3"/>
    <w:rsid w:val="000C2440"/>
    <w:rsid w:val="000C3463"/>
    <w:rsid w:val="000C640F"/>
    <w:rsid w:val="000D202B"/>
    <w:rsid w:val="000D39C6"/>
    <w:rsid w:val="000D6B69"/>
    <w:rsid w:val="000D6CFC"/>
    <w:rsid w:val="000E24A4"/>
    <w:rsid w:val="000F08AC"/>
    <w:rsid w:val="00102BA0"/>
    <w:rsid w:val="00110A88"/>
    <w:rsid w:val="00111826"/>
    <w:rsid w:val="00112C7A"/>
    <w:rsid w:val="00114DB9"/>
    <w:rsid w:val="00116761"/>
    <w:rsid w:val="001174D8"/>
    <w:rsid w:val="00121323"/>
    <w:rsid w:val="00122845"/>
    <w:rsid w:val="00124141"/>
    <w:rsid w:val="001258E2"/>
    <w:rsid w:val="0013001E"/>
    <w:rsid w:val="00130A4D"/>
    <w:rsid w:val="0014005E"/>
    <w:rsid w:val="00140084"/>
    <w:rsid w:val="00140352"/>
    <w:rsid w:val="0014206F"/>
    <w:rsid w:val="001423A1"/>
    <w:rsid w:val="001430FC"/>
    <w:rsid w:val="001458A3"/>
    <w:rsid w:val="00150099"/>
    <w:rsid w:val="0015176E"/>
    <w:rsid w:val="00152172"/>
    <w:rsid w:val="00153528"/>
    <w:rsid w:val="00154D42"/>
    <w:rsid w:val="00157AD8"/>
    <w:rsid w:val="00166A36"/>
    <w:rsid w:val="001741AE"/>
    <w:rsid w:val="001751B1"/>
    <w:rsid w:val="001758FB"/>
    <w:rsid w:val="0018750E"/>
    <w:rsid w:val="00187AF9"/>
    <w:rsid w:val="001915BC"/>
    <w:rsid w:val="001960AD"/>
    <w:rsid w:val="00196F9F"/>
    <w:rsid w:val="001A08AA"/>
    <w:rsid w:val="001A17A5"/>
    <w:rsid w:val="001A2BC5"/>
    <w:rsid w:val="001A2EF9"/>
    <w:rsid w:val="001A3030"/>
    <w:rsid w:val="001A3120"/>
    <w:rsid w:val="001A3BFA"/>
    <w:rsid w:val="001B2108"/>
    <w:rsid w:val="001B231F"/>
    <w:rsid w:val="001B425D"/>
    <w:rsid w:val="001B6A72"/>
    <w:rsid w:val="001C00AA"/>
    <w:rsid w:val="001C0CFD"/>
    <w:rsid w:val="001C2F29"/>
    <w:rsid w:val="001C326A"/>
    <w:rsid w:val="001C3A35"/>
    <w:rsid w:val="001C3CCB"/>
    <w:rsid w:val="001C4A15"/>
    <w:rsid w:val="001C687E"/>
    <w:rsid w:val="001C75A8"/>
    <w:rsid w:val="001D09E5"/>
    <w:rsid w:val="001D0D8E"/>
    <w:rsid w:val="001D7D91"/>
    <w:rsid w:val="001D7F4A"/>
    <w:rsid w:val="001E1CF6"/>
    <w:rsid w:val="001E4636"/>
    <w:rsid w:val="001E6DC6"/>
    <w:rsid w:val="001F5795"/>
    <w:rsid w:val="001F706B"/>
    <w:rsid w:val="00200996"/>
    <w:rsid w:val="0020314E"/>
    <w:rsid w:val="00204999"/>
    <w:rsid w:val="00206FE6"/>
    <w:rsid w:val="0020758D"/>
    <w:rsid w:val="00207AD7"/>
    <w:rsid w:val="00207F74"/>
    <w:rsid w:val="00210D55"/>
    <w:rsid w:val="0021155C"/>
    <w:rsid w:val="00211B68"/>
    <w:rsid w:val="00212373"/>
    <w:rsid w:val="002138EA"/>
    <w:rsid w:val="00214FBD"/>
    <w:rsid w:val="00222897"/>
    <w:rsid w:val="0022419C"/>
    <w:rsid w:val="00225123"/>
    <w:rsid w:val="00234D1C"/>
    <w:rsid w:val="00235394"/>
    <w:rsid w:val="00235813"/>
    <w:rsid w:val="00236683"/>
    <w:rsid w:val="00236ECD"/>
    <w:rsid w:val="0023752C"/>
    <w:rsid w:val="00241A14"/>
    <w:rsid w:val="00244EEE"/>
    <w:rsid w:val="0025114C"/>
    <w:rsid w:val="00251340"/>
    <w:rsid w:val="00252AEA"/>
    <w:rsid w:val="00254246"/>
    <w:rsid w:val="00255905"/>
    <w:rsid w:val="0026179F"/>
    <w:rsid w:val="00262600"/>
    <w:rsid w:val="00262A89"/>
    <w:rsid w:val="0026391C"/>
    <w:rsid w:val="00264F17"/>
    <w:rsid w:val="00266C6B"/>
    <w:rsid w:val="0026709E"/>
    <w:rsid w:val="00267CC7"/>
    <w:rsid w:val="002718E9"/>
    <w:rsid w:val="00271F76"/>
    <w:rsid w:val="002741DA"/>
    <w:rsid w:val="002748A2"/>
    <w:rsid w:val="00274984"/>
    <w:rsid w:val="00274E1A"/>
    <w:rsid w:val="0027758E"/>
    <w:rsid w:val="00277A09"/>
    <w:rsid w:val="00282213"/>
    <w:rsid w:val="00282AB5"/>
    <w:rsid w:val="00287895"/>
    <w:rsid w:val="00287C09"/>
    <w:rsid w:val="0029076F"/>
    <w:rsid w:val="00293732"/>
    <w:rsid w:val="00296B9F"/>
    <w:rsid w:val="002A0618"/>
    <w:rsid w:val="002A4112"/>
    <w:rsid w:val="002A67F1"/>
    <w:rsid w:val="002A7017"/>
    <w:rsid w:val="002A7F4B"/>
    <w:rsid w:val="002B01BA"/>
    <w:rsid w:val="002B11F7"/>
    <w:rsid w:val="002B34F7"/>
    <w:rsid w:val="002B3F06"/>
    <w:rsid w:val="002B4D62"/>
    <w:rsid w:val="002B4EC1"/>
    <w:rsid w:val="002C1E1B"/>
    <w:rsid w:val="002C2040"/>
    <w:rsid w:val="002C7D13"/>
    <w:rsid w:val="002D0B3C"/>
    <w:rsid w:val="002D0D61"/>
    <w:rsid w:val="002D44BD"/>
    <w:rsid w:val="002D69EF"/>
    <w:rsid w:val="002E3655"/>
    <w:rsid w:val="002E465A"/>
    <w:rsid w:val="002E47F7"/>
    <w:rsid w:val="002E5F31"/>
    <w:rsid w:val="002E6BFA"/>
    <w:rsid w:val="002F27F1"/>
    <w:rsid w:val="002F4093"/>
    <w:rsid w:val="002F47E3"/>
    <w:rsid w:val="002F5FAD"/>
    <w:rsid w:val="00300544"/>
    <w:rsid w:val="003045CD"/>
    <w:rsid w:val="00306D8E"/>
    <w:rsid w:val="00307D2C"/>
    <w:rsid w:val="00313528"/>
    <w:rsid w:val="003140D9"/>
    <w:rsid w:val="003162F0"/>
    <w:rsid w:val="003209E5"/>
    <w:rsid w:val="00323717"/>
    <w:rsid w:val="00324F35"/>
    <w:rsid w:val="00325C18"/>
    <w:rsid w:val="00326CFF"/>
    <w:rsid w:val="00331E19"/>
    <w:rsid w:val="00332820"/>
    <w:rsid w:val="003340C5"/>
    <w:rsid w:val="0033593B"/>
    <w:rsid w:val="003404F4"/>
    <w:rsid w:val="00342EC7"/>
    <w:rsid w:val="00344657"/>
    <w:rsid w:val="00344BCD"/>
    <w:rsid w:val="003450DD"/>
    <w:rsid w:val="00347574"/>
    <w:rsid w:val="00347BC5"/>
    <w:rsid w:val="003512CC"/>
    <w:rsid w:val="00352233"/>
    <w:rsid w:val="00353724"/>
    <w:rsid w:val="00353E42"/>
    <w:rsid w:val="00354167"/>
    <w:rsid w:val="00356D6C"/>
    <w:rsid w:val="00360416"/>
    <w:rsid w:val="00364DC7"/>
    <w:rsid w:val="00365EF7"/>
    <w:rsid w:val="00366F9B"/>
    <w:rsid w:val="00367724"/>
    <w:rsid w:val="003679B5"/>
    <w:rsid w:val="00373148"/>
    <w:rsid w:val="00374836"/>
    <w:rsid w:val="00380C5B"/>
    <w:rsid w:val="00380F33"/>
    <w:rsid w:val="00381C22"/>
    <w:rsid w:val="003834B0"/>
    <w:rsid w:val="00384387"/>
    <w:rsid w:val="003907E3"/>
    <w:rsid w:val="0039361E"/>
    <w:rsid w:val="00394D7F"/>
    <w:rsid w:val="0039509E"/>
    <w:rsid w:val="0039608D"/>
    <w:rsid w:val="00397CC0"/>
    <w:rsid w:val="003A1A50"/>
    <w:rsid w:val="003A1E08"/>
    <w:rsid w:val="003B1087"/>
    <w:rsid w:val="003B1AA0"/>
    <w:rsid w:val="003B3922"/>
    <w:rsid w:val="003B478A"/>
    <w:rsid w:val="003B5AB0"/>
    <w:rsid w:val="003B7F37"/>
    <w:rsid w:val="003C4291"/>
    <w:rsid w:val="003C47CE"/>
    <w:rsid w:val="003C5232"/>
    <w:rsid w:val="003D1D54"/>
    <w:rsid w:val="003D2C79"/>
    <w:rsid w:val="003D5D10"/>
    <w:rsid w:val="003D7CEB"/>
    <w:rsid w:val="003E300F"/>
    <w:rsid w:val="003E39F0"/>
    <w:rsid w:val="003E3F2D"/>
    <w:rsid w:val="003E567C"/>
    <w:rsid w:val="003E6A73"/>
    <w:rsid w:val="003F0282"/>
    <w:rsid w:val="003F1AEA"/>
    <w:rsid w:val="003F1D13"/>
    <w:rsid w:val="003F3048"/>
    <w:rsid w:val="003F6395"/>
    <w:rsid w:val="003F6FF1"/>
    <w:rsid w:val="004006F6"/>
    <w:rsid w:val="0040097C"/>
    <w:rsid w:val="0040139E"/>
    <w:rsid w:val="004026D0"/>
    <w:rsid w:val="004048A9"/>
    <w:rsid w:val="00407197"/>
    <w:rsid w:val="00413C3E"/>
    <w:rsid w:val="00413C6C"/>
    <w:rsid w:val="0041477A"/>
    <w:rsid w:val="00417068"/>
    <w:rsid w:val="004204BB"/>
    <w:rsid w:val="00420AD5"/>
    <w:rsid w:val="00426356"/>
    <w:rsid w:val="00426E1F"/>
    <w:rsid w:val="00427B4E"/>
    <w:rsid w:val="00431287"/>
    <w:rsid w:val="004355BB"/>
    <w:rsid w:val="004420B4"/>
    <w:rsid w:val="00444225"/>
    <w:rsid w:val="004449DE"/>
    <w:rsid w:val="00445435"/>
    <w:rsid w:val="0045050C"/>
    <w:rsid w:val="00456C09"/>
    <w:rsid w:val="0046119F"/>
    <w:rsid w:val="0046266D"/>
    <w:rsid w:val="00466E59"/>
    <w:rsid w:val="004701D2"/>
    <w:rsid w:val="00470737"/>
    <w:rsid w:val="00470B08"/>
    <w:rsid w:val="00470E49"/>
    <w:rsid w:val="00471B36"/>
    <w:rsid w:val="00473D9D"/>
    <w:rsid w:val="00474556"/>
    <w:rsid w:val="00474FBC"/>
    <w:rsid w:val="00476405"/>
    <w:rsid w:val="00476D28"/>
    <w:rsid w:val="00481A62"/>
    <w:rsid w:val="00482CB3"/>
    <w:rsid w:val="004835B4"/>
    <w:rsid w:val="00484D33"/>
    <w:rsid w:val="00485FCA"/>
    <w:rsid w:val="00486D42"/>
    <w:rsid w:val="00490F98"/>
    <w:rsid w:val="00490FAF"/>
    <w:rsid w:val="00491FA6"/>
    <w:rsid w:val="00492CD6"/>
    <w:rsid w:val="00495A33"/>
    <w:rsid w:val="004979C4"/>
    <w:rsid w:val="004A044F"/>
    <w:rsid w:val="004A07A1"/>
    <w:rsid w:val="004A0A78"/>
    <w:rsid w:val="004A17C7"/>
    <w:rsid w:val="004A419F"/>
    <w:rsid w:val="004A6B36"/>
    <w:rsid w:val="004A7D1A"/>
    <w:rsid w:val="004B245C"/>
    <w:rsid w:val="004B27EC"/>
    <w:rsid w:val="004B3BE7"/>
    <w:rsid w:val="004C2A16"/>
    <w:rsid w:val="004D0FD5"/>
    <w:rsid w:val="004D2267"/>
    <w:rsid w:val="004D5AE5"/>
    <w:rsid w:val="004E2B50"/>
    <w:rsid w:val="004E6319"/>
    <w:rsid w:val="004F08C5"/>
    <w:rsid w:val="004F1DB1"/>
    <w:rsid w:val="004F24A6"/>
    <w:rsid w:val="004F374D"/>
    <w:rsid w:val="004F3D34"/>
    <w:rsid w:val="004F3E0E"/>
    <w:rsid w:val="004F3EB5"/>
    <w:rsid w:val="004F554E"/>
    <w:rsid w:val="004F7A3D"/>
    <w:rsid w:val="004F7C82"/>
    <w:rsid w:val="0050179F"/>
    <w:rsid w:val="00501CEE"/>
    <w:rsid w:val="00503D2D"/>
    <w:rsid w:val="00505BFA"/>
    <w:rsid w:val="005069C0"/>
    <w:rsid w:val="00507E32"/>
    <w:rsid w:val="00511254"/>
    <w:rsid w:val="00512458"/>
    <w:rsid w:val="00513632"/>
    <w:rsid w:val="00517B81"/>
    <w:rsid w:val="00520CFC"/>
    <w:rsid w:val="00522C5E"/>
    <w:rsid w:val="005239FE"/>
    <w:rsid w:val="00525311"/>
    <w:rsid w:val="00526FA7"/>
    <w:rsid w:val="00531E4B"/>
    <w:rsid w:val="0053435C"/>
    <w:rsid w:val="00534F72"/>
    <w:rsid w:val="00534F8F"/>
    <w:rsid w:val="00541EB9"/>
    <w:rsid w:val="00543311"/>
    <w:rsid w:val="00546367"/>
    <w:rsid w:val="005464FE"/>
    <w:rsid w:val="005471FE"/>
    <w:rsid w:val="00547986"/>
    <w:rsid w:val="00554A16"/>
    <w:rsid w:val="005550DD"/>
    <w:rsid w:val="00555741"/>
    <w:rsid w:val="00556E7F"/>
    <w:rsid w:val="005603F5"/>
    <w:rsid w:val="005649A1"/>
    <w:rsid w:val="00566838"/>
    <w:rsid w:val="00575D3A"/>
    <w:rsid w:val="00580542"/>
    <w:rsid w:val="00580587"/>
    <w:rsid w:val="00581E88"/>
    <w:rsid w:val="00583627"/>
    <w:rsid w:val="0058392F"/>
    <w:rsid w:val="00585B23"/>
    <w:rsid w:val="005908D2"/>
    <w:rsid w:val="00592F28"/>
    <w:rsid w:val="00593B56"/>
    <w:rsid w:val="005943B2"/>
    <w:rsid w:val="00595618"/>
    <w:rsid w:val="005A0EDD"/>
    <w:rsid w:val="005A616F"/>
    <w:rsid w:val="005A6F48"/>
    <w:rsid w:val="005B32BD"/>
    <w:rsid w:val="005B7B7A"/>
    <w:rsid w:val="005C239F"/>
    <w:rsid w:val="005C331B"/>
    <w:rsid w:val="005C4260"/>
    <w:rsid w:val="005C4593"/>
    <w:rsid w:val="005D2167"/>
    <w:rsid w:val="005D60DF"/>
    <w:rsid w:val="005D6DA8"/>
    <w:rsid w:val="005E12CD"/>
    <w:rsid w:val="005E2166"/>
    <w:rsid w:val="005E2985"/>
    <w:rsid w:val="005E5D66"/>
    <w:rsid w:val="005F3B1B"/>
    <w:rsid w:val="00604B29"/>
    <w:rsid w:val="00607D98"/>
    <w:rsid w:val="0061059A"/>
    <w:rsid w:val="006126CA"/>
    <w:rsid w:val="006131BB"/>
    <w:rsid w:val="00613B1E"/>
    <w:rsid w:val="00614741"/>
    <w:rsid w:val="00616FB0"/>
    <w:rsid w:val="006210C4"/>
    <w:rsid w:val="00622B32"/>
    <w:rsid w:val="00634928"/>
    <w:rsid w:val="00635671"/>
    <w:rsid w:val="00636ABD"/>
    <w:rsid w:val="00641457"/>
    <w:rsid w:val="00643519"/>
    <w:rsid w:val="00645857"/>
    <w:rsid w:val="006468DD"/>
    <w:rsid w:val="00651C2B"/>
    <w:rsid w:val="006537BF"/>
    <w:rsid w:val="00653DF0"/>
    <w:rsid w:val="006543EF"/>
    <w:rsid w:val="0065492A"/>
    <w:rsid w:val="00654D11"/>
    <w:rsid w:val="00656822"/>
    <w:rsid w:val="00656A7B"/>
    <w:rsid w:val="006576E2"/>
    <w:rsid w:val="00665AD3"/>
    <w:rsid w:val="00683066"/>
    <w:rsid w:val="00683EDA"/>
    <w:rsid w:val="006852F5"/>
    <w:rsid w:val="006856E5"/>
    <w:rsid w:val="00685AC2"/>
    <w:rsid w:val="00686C20"/>
    <w:rsid w:val="006937D0"/>
    <w:rsid w:val="00695755"/>
    <w:rsid w:val="00696304"/>
    <w:rsid w:val="00696BE5"/>
    <w:rsid w:val="00696D0A"/>
    <w:rsid w:val="006974B7"/>
    <w:rsid w:val="006A03F3"/>
    <w:rsid w:val="006A12DC"/>
    <w:rsid w:val="006A5A2A"/>
    <w:rsid w:val="006A5ED0"/>
    <w:rsid w:val="006A68BD"/>
    <w:rsid w:val="006B03F1"/>
    <w:rsid w:val="006B0D02"/>
    <w:rsid w:val="006B1C2F"/>
    <w:rsid w:val="006B363D"/>
    <w:rsid w:val="006B39EF"/>
    <w:rsid w:val="006C2AF9"/>
    <w:rsid w:val="006C3A94"/>
    <w:rsid w:val="006C60DD"/>
    <w:rsid w:val="006C71A3"/>
    <w:rsid w:val="006C7E35"/>
    <w:rsid w:val="006D132D"/>
    <w:rsid w:val="006D2259"/>
    <w:rsid w:val="006D449F"/>
    <w:rsid w:val="006D6B1F"/>
    <w:rsid w:val="006E45D9"/>
    <w:rsid w:val="006E5B02"/>
    <w:rsid w:val="006F0D5F"/>
    <w:rsid w:val="006F1DCF"/>
    <w:rsid w:val="006F4830"/>
    <w:rsid w:val="006F4A1A"/>
    <w:rsid w:val="006F5431"/>
    <w:rsid w:val="006F5C22"/>
    <w:rsid w:val="006F5C73"/>
    <w:rsid w:val="00700488"/>
    <w:rsid w:val="00703F5D"/>
    <w:rsid w:val="00705FF6"/>
    <w:rsid w:val="0070646B"/>
    <w:rsid w:val="007066FA"/>
    <w:rsid w:val="00707941"/>
    <w:rsid w:val="00707CE7"/>
    <w:rsid w:val="0071466D"/>
    <w:rsid w:val="00714DD6"/>
    <w:rsid w:val="007162EF"/>
    <w:rsid w:val="00720148"/>
    <w:rsid w:val="00720AC9"/>
    <w:rsid w:val="007250C2"/>
    <w:rsid w:val="0072666A"/>
    <w:rsid w:val="00726FD4"/>
    <w:rsid w:val="00727352"/>
    <w:rsid w:val="00727593"/>
    <w:rsid w:val="00727A8D"/>
    <w:rsid w:val="00730547"/>
    <w:rsid w:val="00734D11"/>
    <w:rsid w:val="00734F28"/>
    <w:rsid w:val="00735C81"/>
    <w:rsid w:val="00736A17"/>
    <w:rsid w:val="007373B0"/>
    <w:rsid w:val="007376B8"/>
    <w:rsid w:val="007403F2"/>
    <w:rsid w:val="00740C81"/>
    <w:rsid w:val="00741775"/>
    <w:rsid w:val="00742D25"/>
    <w:rsid w:val="00744CC1"/>
    <w:rsid w:val="0074650E"/>
    <w:rsid w:val="00746973"/>
    <w:rsid w:val="00747AD4"/>
    <w:rsid w:val="00752FA3"/>
    <w:rsid w:val="007554E7"/>
    <w:rsid w:val="00770A12"/>
    <w:rsid w:val="007748ED"/>
    <w:rsid w:val="00774B17"/>
    <w:rsid w:val="007756A1"/>
    <w:rsid w:val="0078088D"/>
    <w:rsid w:val="00785759"/>
    <w:rsid w:val="00785D03"/>
    <w:rsid w:val="007901EB"/>
    <w:rsid w:val="007927CF"/>
    <w:rsid w:val="00797994"/>
    <w:rsid w:val="007A12E0"/>
    <w:rsid w:val="007A2502"/>
    <w:rsid w:val="007A4551"/>
    <w:rsid w:val="007A4F68"/>
    <w:rsid w:val="007A5139"/>
    <w:rsid w:val="007A5243"/>
    <w:rsid w:val="007A5B40"/>
    <w:rsid w:val="007A6059"/>
    <w:rsid w:val="007B03C6"/>
    <w:rsid w:val="007B0584"/>
    <w:rsid w:val="007B2DA3"/>
    <w:rsid w:val="007B5856"/>
    <w:rsid w:val="007B6E97"/>
    <w:rsid w:val="007B6FFB"/>
    <w:rsid w:val="007C0BFC"/>
    <w:rsid w:val="007C3143"/>
    <w:rsid w:val="007C3F8A"/>
    <w:rsid w:val="007C6874"/>
    <w:rsid w:val="007C6DD8"/>
    <w:rsid w:val="007D0054"/>
    <w:rsid w:val="007D258B"/>
    <w:rsid w:val="007D2F2F"/>
    <w:rsid w:val="007D36D3"/>
    <w:rsid w:val="007D3BE3"/>
    <w:rsid w:val="007D6048"/>
    <w:rsid w:val="007E0486"/>
    <w:rsid w:val="007E2E0D"/>
    <w:rsid w:val="007E7938"/>
    <w:rsid w:val="007F0138"/>
    <w:rsid w:val="007F0E1E"/>
    <w:rsid w:val="007F0E21"/>
    <w:rsid w:val="007F1535"/>
    <w:rsid w:val="007F39D0"/>
    <w:rsid w:val="007F4B80"/>
    <w:rsid w:val="007F4CAF"/>
    <w:rsid w:val="007F4CCC"/>
    <w:rsid w:val="007F5B12"/>
    <w:rsid w:val="007F62EA"/>
    <w:rsid w:val="007F7064"/>
    <w:rsid w:val="00803E82"/>
    <w:rsid w:val="00804709"/>
    <w:rsid w:val="0080483D"/>
    <w:rsid w:val="00804D53"/>
    <w:rsid w:val="00807F76"/>
    <w:rsid w:val="008142CC"/>
    <w:rsid w:val="008152DF"/>
    <w:rsid w:val="00816C9D"/>
    <w:rsid w:val="0082033D"/>
    <w:rsid w:val="0082128D"/>
    <w:rsid w:val="0082190B"/>
    <w:rsid w:val="00822E9A"/>
    <w:rsid w:val="00826B31"/>
    <w:rsid w:val="008278A2"/>
    <w:rsid w:val="00830BED"/>
    <w:rsid w:val="00836C44"/>
    <w:rsid w:val="0083754E"/>
    <w:rsid w:val="00837660"/>
    <w:rsid w:val="00840013"/>
    <w:rsid w:val="00840A11"/>
    <w:rsid w:val="008450F8"/>
    <w:rsid w:val="00845E55"/>
    <w:rsid w:val="00846391"/>
    <w:rsid w:val="00853CDF"/>
    <w:rsid w:val="008541B3"/>
    <w:rsid w:val="00854ECD"/>
    <w:rsid w:val="008602F7"/>
    <w:rsid w:val="00861C5F"/>
    <w:rsid w:val="008626D8"/>
    <w:rsid w:val="00863644"/>
    <w:rsid w:val="00864950"/>
    <w:rsid w:val="00864B00"/>
    <w:rsid w:val="00870861"/>
    <w:rsid w:val="0087155F"/>
    <w:rsid w:val="00871E22"/>
    <w:rsid w:val="00884BE6"/>
    <w:rsid w:val="0088503C"/>
    <w:rsid w:val="00885D92"/>
    <w:rsid w:val="00892723"/>
    <w:rsid w:val="00893454"/>
    <w:rsid w:val="00895D05"/>
    <w:rsid w:val="00896533"/>
    <w:rsid w:val="00897A25"/>
    <w:rsid w:val="008A0A78"/>
    <w:rsid w:val="008A1A84"/>
    <w:rsid w:val="008A2D48"/>
    <w:rsid w:val="008A3500"/>
    <w:rsid w:val="008A6143"/>
    <w:rsid w:val="008B0529"/>
    <w:rsid w:val="008B1F24"/>
    <w:rsid w:val="008B5C74"/>
    <w:rsid w:val="008C0BD0"/>
    <w:rsid w:val="008C2308"/>
    <w:rsid w:val="008C60E9"/>
    <w:rsid w:val="008C7836"/>
    <w:rsid w:val="008C788E"/>
    <w:rsid w:val="008D2B7D"/>
    <w:rsid w:val="008D3EFE"/>
    <w:rsid w:val="008D7BED"/>
    <w:rsid w:val="008E4413"/>
    <w:rsid w:val="008E4684"/>
    <w:rsid w:val="008E4F84"/>
    <w:rsid w:val="008E6844"/>
    <w:rsid w:val="008F08D9"/>
    <w:rsid w:val="008F1346"/>
    <w:rsid w:val="008F540C"/>
    <w:rsid w:val="008F7D93"/>
    <w:rsid w:val="0090512F"/>
    <w:rsid w:val="0090524D"/>
    <w:rsid w:val="009053B6"/>
    <w:rsid w:val="009064E9"/>
    <w:rsid w:val="009076E4"/>
    <w:rsid w:val="00911B1A"/>
    <w:rsid w:val="00916F35"/>
    <w:rsid w:val="009249BE"/>
    <w:rsid w:val="00925B2A"/>
    <w:rsid w:val="00925BC5"/>
    <w:rsid w:val="00931702"/>
    <w:rsid w:val="00931918"/>
    <w:rsid w:val="00932F29"/>
    <w:rsid w:val="009358B8"/>
    <w:rsid w:val="00937FBD"/>
    <w:rsid w:val="009439E5"/>
    <w:rsid w:val="00944F2F"/>
    <w:rsid w:val="00945858"/>
    <w:rsid w:val="009514EA"/>
    <w:rsid w:val="00951CC5"/>
    <w:rsid w:val="00951E68"/>
    <w:rsid w:val="00952F41"/>
    <w:rsid w:val="0095378B"/>
    <w:rsid w:val="0095392E"/>
    <w:rsid w:val="009555BE"/>
    <w:rsid w:val="009564E9"/>
    <w:rsid w:val="00957EF1"/>
    <w:rsid w:val="00964105"/>
    <w:rsid w:val="00970A06"/>
    <w:rsid w:val="0097133C"/>
    <w:rsid w:val="00971B82"/>
    <w:rsid w:val="00972528"/>
    <w:rsid w:val="009734B9"/>
    <w:rsid w:val="0097539D"/>
    <w:rsid w:val="009767AC"/>
    <w:rsid w:val="009800A2"/>
    <w:rsid w:val="00980E79"/>
    <w:rsid w:val="00982B7E"/>
    <w:rsid w:val="00983910"/>
    <w:rsid w:val="00984E5F"/>
    <w:rsid w:val="009913F6"/>
    <w:rsid w:val="00992B5F"/>
    <w:rsid w:val="00997D88"/>
    <w:rsid w:val="009A0B85"/>
    <w:rsid w:val="009A5F26"/>
    <w:rsid w:val="009A63AD"/>
    <w:rsid w:val="009B1090"/>
    <w:rsid w:val="009B2780"/>
    <w:rsid w:val="009C0727"/>
    <w:rsid w:val="009C4545"/>
    <w:rsid w:val="009C49AE"/>
    <w:rsid w:val="009C6214"/>
    <w:rsid w:val="009D28E0"/>
    <w:rsid w:val="009D343A"/>
    <w:rsid w:val="009D78C2"/>
    <w:rsid w:val="009D7F67"/>
    <w:rsid w:val="009E186C"/>
    <w:rsid w:val="009E3840"/>
    <w:rsid w:val="009E41C5"/>
    <w:rsid w:val="009E430C"/>
    <w:rsid w:val="009E448E"/>
    <w:rsid w:val="009E4FBB"/>
    <w:rsid w:val="009E520A"/>
    <w:rsid w:val="009E7AFD"/>
    <w:rsid w:val="009F20D3"/>
    <w:rsid w:val="00A03F5A"/>
    <w:rsid w:val="00A079A7"/>
    <w:rsid w:val="00A165D9"/>
    <w:rsid w:val="00A17573"/>
    <w:rsid w:val="00A20BA5"/>
    <w:rsid w:val="00A20C11"/>
    <w:rsid w:val="00A210B9"/>
    <w:rsid w:val="00A22FB6"/>
    <w:rsid w:val="00A2310D"/>
    <w:rsid w:val="00A2425C"/>
    <w:rsid w:val="00A25AEB"/>
    <w:rsid w:val="00A263B5"/>
    <w:rsid w:val="00A277B2"/>
    <w:rsid w:val="00A313BC"/>
    <w:rsid w:val="00A320FB"/>
    <w:rsid w:val="00A3540D"/>
    <w:rsid w:val="00A3584A"/>
    <w:rsid w:val="00A446A0"/>
    <w:rsid w:val="00A4504D"/>
    <w:rsid w:val="00A452C2"/>
    <w:rsid w:val="00A45E4D"/>
    <w:rsid w:val="00A515A6"/>
    <w:rsid w:val="00A51F25"/>
    <w:rsid w:val="00A5215D"/>
    <w:rsid w:val="00A56613"/>
    <w:rsid w:val="00A57698"/>
    <w:rsid w:val="00A60D06"/>
    <w:rsid w:val="00A61E17"/>
    <w:rsid w:val="00A65439"/>
    <w:rsid w:val="00A67306"/>
    <w:rsid w:val="00A67ACD"/>
    <w:rsid w:val="00A71503"/>
    <w:rsid w:val="00A72864"/>
    <w:rsid w:val="00A7302E"/>
    <w:rsid w:val="00A74CFE"/>
    <w:rsid w:val="00A74F64"/>
    <w:rsid w:val="00A76571"/>
    <w:rsid w:val="00A76ACF"/>
    <w:rsid w:val="00A77EC9"/>
    <w:rsid w:val="00A8094A"/>
    <w:rsid w:val="00A80BEF"/>
    <w:rsid w:val="00A81B15"/>
    <w:rsid w:val="00A82056"/>
    <w:rsid w:val="00A831F9"/>
    <w:rsid w:val="00A83C96"/>
    <w:rsid w:val="00A85286"/>
    <w:rsid w:val="00A85491"/>
    <w:rsid w:val="00A85DBC"/>
    <w:rsid w:val="00A91132"/>
    <w:rsid w:val="00A97CB6"/>
    <w:rsid w:val="00AA28BF"/>
    <w:rsid w:val="00AA3D6A"/>
    <w:rsid w:val="00AA42AF"/>
    <w:rsid w:val="00AA69E4"/>
    <w:rsid w:val="00AA7169"/>
    <w:rsid w:val="00AA7233"/>
    <w:rsid w:val="00AB0402"/>
    <w:rsid w:val="00AB0C5E"/>
    <w:rsid w:val="00AB25ED"/>
    <w:rsid w:val="00AB32B3"/>
    <w:rsid w:val="00AB3F85"/>
    <w:rsid w:val="00AB4AC5"/>
    <w:rsid w:val="00AB5CCF"/>
    <w:rsid w:val="00AB6005"/>
    <w:rsid w:val="00AB7A92"/>
    <w:rsid w:val="00AC57B6"/>
    <w:rsid w:val="00AC5BD9"/>
    <w:rsid w:val="00AC6E03"/>
    <w:rsid w:val="00AC720B"/>
    <w:rsid w:val="00AD17B1"/>
    <w:rsid w:val="00AD4B9B"/>
    <w:rsid w:val="00AD768A"/>
    <w:rsid w:val="00AE0971"/>
    <w:rsid w:val="00AE116C"/>
    <w:rsid w:val="00AE342A"/>
    <w:rsid w:val="00AE4F0E"/>
    <w:rsid w:val="00AE627B"/>
    <w:rsid w:val="00AE6EAF"/>
    <w:rsid w:val="00AE7393"/>
    <w:rsid w:val="00AF0F4C"/>
    <w:rsid w:val="00AF3407"/>
    <w:rsid w:val="00AF53D7"/>
    <w:rsid w:val="00AF5AD3"/>
    <w:rsid w:val="00B04C92"/>
    <w:rsid w:val="00B0589A"/>
    <w:rsid w:val="00B14BC8"/>
    <w:rsid w:val="00B20BEA"/>
    <w:rsid w:val="00B20C57"/>
    <w:rsid w:val="00B21D87"/>
    <w:rsid w:val="00B22ADA"/>
    <w:rsid w:val="00B24E76"/>
    <w:rsid w:val="00B334B9"/>
    <w:rsid w:val="00B36208"/>
    <w:rsid w:val="00B3769C"/>
    <w:rsid w:val="00B40C16"/>
    <w:rsid w:val="00B40D30"/>
    <w:rsid w:val="00B426E8"/>
    <w:rsid w:val="00B428B9"/>
    <w:rsid w:val="00B42B91"/>
    <w:rsid w:val="00B43FEC"/>
    <w:rsid w:val="00B478AC"/>
    <w:rsid w:val="00B556A3"/>
    <w:rsid w:val="00B55803"/>
    <w:rsid w:val="00B55D9A"/>
    <w:rsid w:val="00B5661F"/>
    <w:rsid w:val="00B6099D"/>
    <w:rsid w:val="00B62514"/>
    <w:rsid w:val="00B65101"/>
    <w:rsid w:val="00B727A3"/>
    <w:rsid w:val="00B7370C"/>
    <w:rsid w:val="00B73955"/>
    <w:rsid w:val="00B75741"/>
    <w:rsid w:val="00B822A0"/>
    <w:rsid w:val="00B83349"/>
    <w:rsid w:val="00B8446C"/>
    <w:rsid w:val="00B85DD7"/>
    <w:rsid w:val="00B92920"/>
    <w:rsid w:val="00B9296A"/>
    <w:rsid w:val="00B93A4D"/>
    <w:rsid w:val="00B9426B"/>
    <w:rsid w:val="00B943D6"/>
    <w:rsid w:val="00BA0D2D"/>
    <w:rsid w:val="00BA47FD"/>
    <w:rsid w:val="00BA5EFD"/>
    <w:rsid w:val="00BA657B"/>
    <w:rsid w:val="00BB2726"/>
    <w:rsid w:val="00BB2B4D"/>
    <w:rsid w:val="00BB4346"/>
    <w:rsid w:val="00BB43B8"/>
    <w:rsid w:val="00BB53AC"/>
    <w:rsid w:val="00BB5C16"/>
    <w:rsid w:val="00BB7338"/>
    <w:rsid w:val="00BC2D24"/>
    <w:rsid w:val="00BC577A"/>
    <w:rsid w:val="00BD0905"/>
    <w:rsid w:val="00BD455F"/>
    <w:rsid w:val="00BD707B"/>
    <w:rsid w:val="00BE0187"/>
    <w:rsid w:val="00BE1212"/>
    <w:rsid w:val="00BE1A05"/>
    <w:rsid w:val="00BE3D23"/>
    <w:rsid w:val="00BE5CA5"/>
    <w:rsid w:val="00BE5CB9"/>
    <w:rsid w:val="00BF5875"/>
    <w:rsid w:val="00C01AD5"/>
    <w:rsid w:val="00C01D4A"/>
    <w:rsid w:val="00C050BC"/>
    <w:rsid w:val="00C050CF"/>
    <w:rsid w:val="00C06487"/>
    <w:rsid w:val="00C065DE"/>
    <w:rsid w:val="00C1494B"/>
    <w:rsid w:val="00C14DE6"/>
    <w:rsid w:val="00C15AC6"/>
    <w:rsid w:val="00C16052"/>
    <w:rsid w:val="00C1643C"/>
    <w:rsid w:val="00C209B5"/>
    <w:rsid w:val="00C21634"/>
    <w:rsid w:val="00C26EE8"/>
    <w:rsid w:val="00C313B8"/>
    <w:rsid w:val="00C31D69"/>
    <w:rsid w:val="00C401B8"/>
    <w:rsid w:val="00C42EBF"/>
    <w:rsid w:val="00C42F12"/>
    <w:rsid w:val="00C451D8"/>
    <w:rsid w:val="00C475DA"/>
    <w:rsid w:val="00C56792"/>
    <w:rsid w:val="00C57A9E"/>
    <w:rsid w:val="00C6278C"/>
    <w:rsid w:val="00C63AA2"/>
    <w:rsid w:val="00C63F93"/>
    <w:rsid w:val="00C64412"/>
    <w:rsid w:val="00C65422"/>
    <w:rsid w:val="00C6599B"/>
    <w:rsid w:val="00C76F04"/>
    <w:rsid w:val="00C804C3"/>
    <w:rsid w:val="00C807DB"/>
    <w:rsid w:val="00C81268"/>
    <w:rsid w:val="00C83771"/>
    <w:rsid w:val="00C84E2E"/>
    <w:rsid w:val="00C87851"/>
    <w:rsid w:val="00C9025C"/>
    <w:rsid w:val="00C93744"/>
    <w:rsid w:val="00C958F3"/>
    <w:rsid w:val="00C9614A"/>
    <w:rsid w:val="00CA1AB4"/>
    <w:rsid w:val="00CA3A27"/>
    <w:rsid w:val="00CA517A"/>
    <w:rsid w:val="00CB0D58"/>
    <w:rsid w:val="00CB20B3"/>
    <w:rsid w:val="00CB29E4"/>
    <w:rsid w:val="00CB54AD"/>
    <w:rsid w:val="00CB5BF2"/>
    <w:rsid w:val="00CC06F8"/>
    <w:rsid w:val="00CC15A4"/>
    <w:rsid w:val="00CC28A9"/>
    <w:rsid w:val="00CC29A2"/>
    <w:rsid w:val="00CC5A8F"/>
    <w:rsid w:val="00CC6580"/>
    <w:rsid w:val="00CC6FE0"/>
    <w:rsid w:val="00CD554E"/>
    <w:rsid w:val="00CD6130"/>
    <w:rsid w:val="00CE0078"/>
    <w:rsid w:val="00CE0386"/>
    <w:rsid w:val="00CE1EA9"/>
    <w:rsid w:val="00CF0031"/>
    <w:rsid w:val="00CF0C99"/>
    <w:rsid w:val="00CF46D3"/>
    <w:rsid w:val="00CF61F2"/>
    <w:rsid w:val="00D076FD"/>
    <w:rsid w:val="00D1118A"/>
    <w:rsid w:val="00D12CB8"/>
    <w:rsid w:val="00D16CE2"/>
    <w:rsid w:val="00D170AB"/>
    <w:rsid w:val="00D178FC"/>
    <w:rsid w:val="00D21245"/>
    <w:rsid w:val="00D21C9F"/>
    <w:rsid w:val="00D22BEB"/>
    <w:rsid w:val="00D252B2"/>
    <w:rsid w:val="00D26BF2"/>
    <w:rsid w:val="00D33C1E"/>
    <w:rsid w:val="00D37444"/>
    <w:rsid w:val="00D37A5A"/>
    <w:rsid w:val="00D402C2"/>
    <w:rsid w:val="00D45EB6"/>
    <w:rsid w:val="00D520E4"/>
    <w:rsid w:val="00D5329A"/>
    <w:rsid w:val="00D54860"/>
    <w:rsid w:val="00D54AA0"/>
    <w:rsid w:val="00D54E1D"/>
    <w:rsid w:val="00D54F08"/>
    <w:rsid w:val="00D55B87"/>
    <w:rsid w:val="00D567FB"/>
    <w:rsid w:val="00D57DFA"/>
    <w:rsid w:val="00D60E8D"/>
    <w:rsid w:val="00D6215E"/>
    <w:rsid w:val="00D70DBC"/>
    <w:rsid w:val="00D7306B"/>
    <w:rsid w:val="00D73201"/>
    <w:rsid w:val="00D73647"/>
    <w:rsid w:val="00D774A3"/>
    <w:rsid w:val="00D77EA4"/>
    <w:rsid w:val="00D8307F"/>
    <w:rsid w:val="00D8465F"/>
    <w:rsid w:val="00D85B5D"/>
    <w:rsid w:val="00D90EA8"/>
    <w:rsid w:val="00D90F93"/>
    <w:rsid w:val="00D91F54"/>
    <w:rsid w:val="00D93835"/>
    <w:rsid w:val="00D93AE3"/>
    <w:rsid w:val="00D9442D"/>
    <w:rsid w:val="00D94F8B"/>
    <w:rsid w:val="00D95235"/>
    <w:rsid w:val="00D9763F"/>
    <w:rsid w:val="00DA66C3"/>
    <w:rsid w:val="00DB1204"/>
    <w:rsid w:val="00DB5E7F"/>
    <w:rsid w:val="00DB6CE7"/>
    <w:rsid w:val="00DC176A"/>
    <w:rsid w:val="00DC411E"/>
    <w:rsid w:val="00DC687B"/>
    <w:rsid w:val="00DD0C2C"/>
    <w:rsid w:val="00DD0F6E"/>
    <w:rsid w:val="00DD14A6"/>
    <w:rsid w:val="00DD1C07"/>
    <w:rsid w:val="00DD3907"/>
    <w:rsid w:val="00DD4BF9"/>
    <w:rsid w:val="00DE0E3E"/>
    <w:rsid w:val="00DE2633"/>
    <w:rsid w:val="00DE62CB"/>
    <w:rsid w:val="00DF1AE6"/>
    <w:rsid w:val="00DF583E"/>
    <w:rsid w:val="00E02447"/>
    <w:rsid w:val="00E031D9"/>
    <w:rsid w:val="00E038CE"/>
    <w:rsid w:val="00E03F11"/>
    <w:rsid w:val="00E0463C"/>
    <w:rsid w:val="00E077C9"/>
    <w:rsid w:val="00E11C02"/>
    <w:rsid w:val="00E21128"/>
    <w:rsid w:val="00E21AB4"/>
    <w:rsid w:val="00E224FC"/>
    <w:rsid w:val="00E271FC"/>
    <w:rsid w:val="00E31F57"/>
    <w:rsid w:val="00E32C2E"/>
    <w:rsid w:val="00E336C5"/>
    <w:rsid w:val="00E34241"/>
    <w:rsid w:val="00E34794"/>
    <w:rsid w:val="00E41279"/>
    <w:rsid w:val="00E444A0"/>
    <w:rsid w:val="00E502C4"/>
    <w:rsid w:val="00E5455B"/>
    <w:rsid w:val="00E546BC"/>
    <w:rsid w:val="00E556C7"/>
    <w:rsid w:val="00E55ABC"/>
    <w:rsid w:val="00E56168"/>
    <w:rsid w:val="00E57B74"/>
    <w:rsid w:val="00E57FEF"/>
    <w:rsid w:val="00E60088"/>
    <w:rsid w:val="00E642B3"/>
    <w:rsid w:val="00E70C18"/>
    <w:rsid w:val="00E71B84"/>
    <w:rsid w:val="00E82E3F"/>
    <w:rsid w:val="00E843F2"/>
    <w:rsid w:val="00E86057"/>
    <w:rsid w:val="00E8629F"/>
    <w:rsid w:val="00E90B54"/>
    <w:rsid w:val="00E94C45"/>
    <w:rsid w:val="00E96BC6"/>
    <w:rsid w:val="00E97AA9"/>
    <w:rsid w:val="00EA09B1"/>
    <w:rsid w:val="00EA0B7F"/>
    <w:rsid w:val="00EA3C24"/>
    <w:rsid w:val="00EA3D76"/>
    <w:rsid w:val="00EA739C"/>
    <w:rsid w:val="00EA7D70"/>
    <w:rsid w:val="00EB0292"/>
    <w:rsid w:val="00EB1238"/>
    <w:rsid w:val="00EB61A0"/>
    <w:rsid w:val="00EC0715"/>
    <w:rsid w:val="00EC1058"/>
    <w:rsid w:val="00EC1AE8"/>
    <w:rsid w:val="00EC6A1C"/>
    <w:rsid w:val="00ED5F47"/>
    <w:rsid w:val="00ED7922"/>
    <w:rsid w:val="00EE01EA"/>
    <w:rsid w:val="00EE066A"/>
    <w:rsid w:val="00EE2605"/>
    <w:rsid w:val="00EE3A95"/>
    <w:rsid w:val="00EE5692"/>
    <w:rsid w:val="00EE6221"/>
    <w:rsid w:val="00EE7690"/>
    <w:rsid w:val="00EF011F"/>
    <w:rsid w:val="00EF325F"/>
    <w:rsid w:val="00EF32A7"/>
    <w:rsid w:val="00EF521B"/>
    <w:rsid w:val="00EF5D8B"/>
    <w:rsid w:val="00EF6BCD"/>
    <w:rsid w:val="00F01416"/>
    <w:rsid w:val="00F030CA"/>
    <w:rsid w:val="00F0557F"/>
    <w:rsid w:val="00F05DFF"/>
    <w:rsid w:val="00F072D8"/>
    <w:rsid w:val="00F10B79"/>
    <w:rsid w:val="00F12D23"/>
    <w:rsid w:val="00F15074"/>
    <w:rsid w:val="00F15855"/>
    <w:rsid w:val="00F1709D"/>
    <w:rsid w:val="00F1745D"/>
    <w:rsid w:val="00F23155"/>
    <w:rsid w:val="00F26554"/>
    <w:rsid w:val="00F2664C"/>
    <w:rsid w:val="00F30653"/>
    <w:rsid w:val="00F31B3D"/>
    <w:rsid w:val="00F3413D"/>
    <w:rsid w:val="00F37710"/>
    <w:rsid w:val="00F41DA7"/>
    <w:rsid w:val="00F421FD"/>
    <w:rsid w:val="00F46E30"/>
    <w:rsid w:val="00F5010C"/>
    <w:rsid w:val="00F54747"/>
    <w:rsid w:val="00F55277"/>
    <w:rsid w:val="00F614EA"/>
    <w:rsid w:val="00F6267E"/>
    <w:rsid w:val="00F63B69"/>
    <w:rsid w:val="00F7184A"/>
    <w:rsid w:val="00F71D94"/>
    <w:rsid w:val="00F775AD"/>
    <w:rsid w:val="00F77EB0"/>
    <w:rsid w:val="00F81AC1"/>
    <w:rsid w:val="00F83415"/>
    <w:rsid w:val="00F835DB"/>
    <w:rsid w:val="00F83668"/>
    <w:rsid w:val="00F86974"/>
    <w:rsid w:val="00F90935"/>
    <w:rsid w:val="00F91F8F"/>
    <w:rsid w:val="00FA0215"/>
    <w:rsid w:val="00FA04B9"/>
    <w:rsid w:val="00FA35B4"/>
    <w:rsid w:val="00FA3AE0"/>
    <w:rsid w:val="00FA7824"/>
    <w:rsid w:val="00FB2CFC"/>
    <w:rsid w:val="00FB560E"/>
    <w:rsid w:val="00FB69E7"/>
    <w:rsid w:val="00FC051F"/>
    <w:rsid w:val="00FC0F44"/>
    <w:rsid w:val="00FC2CA7"/>
    <w:rsid w:val="00FC426E"/>
    <w:rsid w:val="00FC5F9D"/>
    <w:rsid w:val="00FD16E0"/>
    <w:rsid w:val="00FD182B"/>
    <w:rsid w:val="00FD446A"/>
    <w:rsid w:val="00FD4707"/>
    <w:rsid w:val="00FD7A87"/>
    <w:rsid w:val="00FE1522"/>
    <w:rsid w:val="00FE6645"/>
    <w:rsid w:val="00FE6EAD"/>
    <w:rsid w:val="00FF04B3"/>
    <w:rsid w:val="00FF2569"/>
    <w:rsid w:val="00FF3FF6"/>
    <w:rsid w:val="00FF4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952386"/>
  <w15:chartTrackingRefBased/>
  <w15:docId w15:val="{DBEAC9A4-09CA-496C-BD30-A11AFEFDF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,h2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Memo Heading 3,h3,no break,Heading 3 Char1 Char,Heading 3 Char Char Char,Heading 3 Char1 Char Char Char,Heading 3 Char Char Char Char Char,Heading 3 Char Char1 Char,Heading 3 Char2 Char,0H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/>
    </w:rPr>
  </w:style>
  <w:style w:type="paragraph" w:customStyle="1" w:styleId="EQ">
    <w:name w:val="EQ"/>
    <w:basedOn w:val="Normal"/>
    <w:next w:val="Normal"/>
    <w:link w:val="EQChar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Index2">
    <w:name w:val="index 2"/>
    <w:basedOn w:val="Index1"/>
    <w:semiHidden/>
    <w:pPr>
      <w:ind w:left="284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Footer">
    <w:name w:val="footer"/>
    <w:basedOn w:val="Header"/>
    <w:pPr>
      <w:jc w:val="center"/>
    </w:pPr>
    <w:rPr>
      <w:i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  <w:lang w:eastAsia="x-none"/>
    </w:r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List"/>
    <w:link w:val="B1Char"/>
    <w:rPr>
      <w:lang w:eastAsia="x-none"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Bullet3">
    <w:name w:val="List Bullet 3"/>
    <w:basedOn w:val="ListBullet2"/>
    <w:pPr>
      <w:ind w:left="1135"/>
    </w:pPr>
  </w:style>
  <w:style w:type="paragraph" w:styleId="List2">
    <w:name w:val="List 2"/>
    <w:basedOn w:val="List"/>
    <w:pPr>
      <w:ind w:left="851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IndexHeading">
    <w:name w:val="index heading"/>
    <w:basedOn w:val="Normal"/>
    <w:next w:val="Normal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pPr>
      <w:ind w:left="851"/>
    </w:pPr>
  </w:style>
  <w:style w:type="paragraph" w:customStyle="1" w:styleId="INDENT2">
    <w:name w:val="INDENT2"/>
    <w:basedOn w:val="Normal"/>
    <w:pPr>
      <w:ind w:left="1135" w:hanging="284"/>
    </w:pPr>
  </w:style>
  <w:style w:type="paragraph" w:customStyle="1" w:styleId="INDENT3">
    <w:name w:val="INDENT3"/>
    <w:basedOn w:val="Normal"/>
    <w:pPr>
      <w:ind w:left="1701" w:hanging="567"/>
    </w:pPr>
  </w:style>
  <w:style w:type="paragraph" w:customStyle="1" w:styleId="FigureTitle">
    <w:name w:val="Figure_Title"/>
    <w:basedOn w:val="Normal"/>
    <w:next w:val="Normal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character" w:customStyle="1" w:styleId="TALChar">
    <w:name w:val="TAL Char"/>
    <w:link w:val="TAL"/>
    <w:rsid w:val="00064500"/>
    <w:rPr>
      <w:rFonts w:ascii="Arial" w:hAnsi="Arial"/>
      <w:sz w:val="18"/>
      <w:lang w:val="en-GB"/>
    </w:rPr>
  </w:style>
  <w:style w:type="paragraph" w:customStyle="1" w:styleId="enumlev2">
    <w:name w:val="enumlev2"/>
    <w:basedOn w:val="Normal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iPriority w:val="35"/>
    <w:qFormat/>
    <w:pPr>
      <w:spacing w:before="120" w:after="120"/>
    </w:pPr>
    <w:rPr>
      <w:b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PlainText">
    <w:name w:val="Plain Text"/>
    <w:basedOn w:val="Normal"/>
    <w:rPr>
      <w:rFonts w:ascii="Courier New" w:hAnsi="Courier New"/>
      <w:lang w:val="nb-NO"/>
    </w:rPr>
  </w:style>
  <w:style w:type="paragraph" w:customStyle="1" w:styleId="TAJ">
    <w:name w:val="TAJ"/>
    <w:basedOn w:val="TH"/>
  </w:style>
  <w:style w:type="paragraph" w:styleId="BodyText">
    <w:name w:val="Body Text"/>
    <w:basedOn w:val="Normal"/>
  </w:style>
  <w:style w:type="character" w:styleId="CommentReference">
    <w:name w:val="annotation reference"/>
    <w:semiHidden/>
    <w:rPr>
      <w:sz w:val="16"/>
    </w:rPr>
  </w:style>
  <w:style w:type="paragraph" w:customStyle="1" w:styleId="Guidance">
    <w:name w:val="Guidance"/>
    <w:basedOn w:val="Normal"/>
    <w:rPr>
      <w:i/>
      <w:color w:val="0000FF"/>
    </w:rPr>
  </w:style>
  <w:style w:type="paragraph" w:styleId="CommentText">
    <w:name w:val="annotation text"/>
    <w:basedOn w:val="Normal"/>
    <w:link w:val="CommentTextChar"/>
    <w:semiHidden/>
  </w:style>
  <w:style w:type="paragraph" w:styleId="BalloonText">
    <w:name w:val="Balloon Text"/>
    <w:basedOn w:val="Normal"/>
    <w:link w:val="BalloonTextChar"/>
    <w:rsid w:val="006B1C2F"/>
    <w:pPr>
      <w:spacing w:after="0"/>
    </w:pPr>
    <w:rPr>
      <w:rFonts w:ascii="Segoe UI" w:hAnsi="Segoe UI"/>
      <w:sz w:val="18"/>
      <w:szCs w:val="18"/>
      <w:lang w:eastAsia="x-none"/>
    </w:rPr>
  </w:style>
  <w:style w:type="character" w:customStyle="1" w:styleId="BalloonTextChar">
    <w:name w:val="Balloon Text Char"/>
    <w:link w:val="BalloonText"/>
    <w:rsid w:val="006B1C2F"/>
    <w:rPr>
      <w:rFonts w:ascii="Segoe UI" w:hAnsi="Segoe UI" w:cs="Segoe UI"/>
      <w:sz w:val="18"/>
      <w:szCs w:val="18"/>
      <w:lang w:val="en-GB"/>
    </w:rPr>
  </w:style>
  <w:style w:type="character" w:customStyle="1" w:styleId="B1Char">
    <w:name w:val="B1 Char"/>
    <w:link w:val="B1"/>
    <w:rsid w:val="006B1C2F"/>
    <w:rPr>
      <w:lang w:val="en-GB"/>
    </w:rPr>
  </w:style>
  <w:style w:type="character" w:customStyle="1" w:styleId="TAHCar">
    <w:name w:val="TAH Car"/>
    <w:link w:val="TAH"/>
    <w:qFormat/>
    <w:rsid w:val="006B1C2F"/>
    <w:rPr>
      <w:rFonts w:ascii="Arial" w:hAnsi="Arial"/>
      <w:b/>
      <w:sz w:val="18"/>
      <w:lang w:val="en-GB"/>
    </w:rPr>
  </w:style>
  <w:style w:type="character" w:customStyle="1" w:styleId="TACChar">
    <w:name w:val="TAC Char"/>
    <w:link w:val="TAC"/>
    <w:qFormat/>
    <w:rsid w:val="00A56613"/>
    <w:rPr>
      <w:rFonts w:ascii="Arial" w:hAnsi="Arial"/>
      <w:sz w:val="18"/>
      <w:lang w:val="en-GB"/>
    </w:rPr>
  </w:style>
  <w:style w:type="character" w:customStyle="1" w:styleId="TFChar">
    <w:name w:val="TF Char"/>
    <w:link w:val="TF"/>
    <w:rsid w:val="00A165D9"/>
    <w:rPr>
      <w:rFonts w:ascii="Arial" w:hAnsi="Arial"/>
      <w:b/>
      <w:lang w:val="en-GB"/>
    </w:rPr>
  </w:style>
  <w:style w:type="character" w:customStyle="1" w:styleId="THChar">
    <w:name w:val="TH Char"/>
    <w:link w:val="TH"/>
    <w:locked/>
    <w:rsid w:val="00064500"/>
    <w:rPr>
      <w:rFonts w:ascii="Arial" w:hAnsi="Arial"/>
      <w:b/>
      <w:lang w:val="en-GB"/>
    </w:rPr>
  </w:style>
  <w:style w:type="character" w:customStyle="1" w:styleId="B1Char1">
    <w:name w:val="B1 Char1"/>
    <w:rsid w:val="00AE116C"/>
    <w:rPr>
      <w:rFonts w:eastAsia="Times New Roman"/>
    </w:rPr>
  </w:style>
  <w:style w:type="paragraph" w:styleId="ListParagraph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列出段落,Bullet list"/>
    <w:basedOn w:val="Normal"/>
    <w:link w:val="ListParagraphChar"/>
    <w:uiPriority w:val="34"/>
    <w:qFormat/>
    <w:rsid w:val="00583627"/>
    <w:pPr>
      <w:numPr>
        <w:numId w:val="40"/>
      </w:numPr>
      <w:spacing w:after="200" w:line="276" w:lineRule="auto"/>
      <w:contextualSpacing/>
    </w:pPr>
    <w:rPr>
      <w:rFonts w:eastAsia="Calibri"/>
      <w:szCs w:val="22"/>
      <w:lang w:val="en-US"/>
    </w:rPr>
  </w:style>
  <w:style w:type="character" w:customStyle="1" w:styleId="TALCar">
    <w:name w:val="TAL Car"/>
    <w:locked/>
    <w:rsid w:val="00AE116C"/>
    <w:rPr>
      <w:rFonts w:ascii="Arial" w:eastAsia="Times New Roman" w:hAnsi="Arial"/>
      <w:sz w:val="18"/>
      <w:lang w:val="en-GB" w:eastAsia="en-GB"/>
    </w:rPr>
  </w:style>
  <w:style w:type="paragraph" w:styleId="CommentSubject">
    <w:name w:val="annotation subject"/>
    <w:basedOn w:val="CommentText"/>
    <w:next w:val="CommentText"/>
    <w:link w:val="CommentSubjectChar"/>
    <w:rsid w:val="00A515A6"/>
    <w:rPr>
      <w:b/>
      <w:bCs/>
    </w:rPr>
  </w:style>
  <w:style w:type="character" w:customStyle="1" w:styleId="CommentTextChar">
    <w:name w:val="Comment Text Char"/>
    <w:link w:val="CommentText"/>
    <w:semiHidden/>
    <w:rsid w:val="00A515A6"/>
    <w:rPr>
      <w:lang w:val="en-GB"/>
    </w:rPr>
  </w:style>
  <w:style w:type="character" w:customStyle="1" w:styleId="CommentSubjectChar">
    <w:name w:val="Comment Subject Char"/>
    <w:link w:val="CommentSubject"/>
    <w:rsid w:val="00A515A6"/>
    <w:rPr>
      <w:b/>
      <w:bCs/>
      <w:lang w:val="en-GB"/>
    </w:rPr>
  </w:style>
  <w:style w:type="character" w:customStyle="1" w:styleId="EQChar">
    <w:name w:val="EQ Char"/>
    <w:link w:val="EQ"/>
    <w:rsid w:val="009D7F67"/>
    <w:rPr>
      <w:noProof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EF011F"/>
    <w:rPr>
      <w:b/>
      <w:lang w:val="en-GB" w:eastAsia="en-US"/>
    </w:rPr>
  </w:style>
  <w:style w:type="character" w:styleId="UnresolvedMention">
    <w:name w:val="Unresolved Mention"/>
    <w:uiPriority w:val="99"/>
    <w:semiHidden/>
    <w:unhideWhenUsed/>
    <w:rsid w:val="00F63B69"/>
    <w:rPr>
      <w:color w:val="808080"/>
      <w:shd w:val="clear" w:color="auto" w:fill="E6E6E6"/>
    </w:rPr>
  </w:style>
  <w:style w:type="paragraph" w:customStyle="1" w:styleId="a">
    <w:name w:val="参考文献"/>
    <w:basedOn w:val="Normal"/>
    <w:qFormat/>
    <w:rsid w:val="00F63B69"/>
    <w:pPr>
      <w:keepLines/>
      <w:numPr>
        <w:numId w:val="18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6F5C22"/>
    <w:rPr>
      <w:lang w:val="en-GB"/>
    </w:rPr>
  </w:style>
  <w:style w:type="table" w:styleId="TableGrid">
    <w:name w:val="Table Grid"/>
    <w:basedOn w:val="TableNormal"/>
    <w:rsid w:val="007A4F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84D3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ListParagraphChar">
    <w:name w:val="List Paragraph Char"/>
    <w:aliases w:val="- Bullets Char,?? ?? Char,????? Char,???? Char,リスト段落 Char,Lista1 Char,列出段落1 Char,中等深浅网格 1 - 着色 21 Char,R4_bullets Char,列表段落1 Char,—ño’i—Ž Char,¥¡¡¡¡ì¬º¥¹¥È¶ÎÂä Char,ÁÐ³ö¶ÎÂä Char,¥ê¥¹¥È¶ÎÂä Char,Lettre d'introduction Char,목록 단락 Char"/>
    <w:basedOn w:val="DefaultParagraphFont"/>
    <w:link w:val="ListParagraph"/>
    <w:uiPriority w:val="34"/>
    <w:qFormat/>
    <w:rsid w:val="00583627"/>
    <w:rPr>
      <w:rFonts w:eastAsia="Calibri"/>
      <w:szCs w:val="22"/>
    </w:rPr>
  </w:style>
  <w:style w:type="character" w:customStyle="1" w:styleId="TANChar">
    <w:name w:val="TAN Char"/>
    <w:link w:val="TAN"/>
    <w:rsid w:val="009564E9"/>
    <w:rPr>
      <w:rFonts w:ascii="Arial" w:hAnsi="Arial"/>
      <w:sz w:val="18"/>
      <w:lang w:val="en-GB" w:eastAsia="x-none"/>
    </w:rPr>
  </w:style>
  <w:style w:type="character" w:customStyle="1" w:styleId="B1Zchn">
    <w:name w:val="B1 Zchn"/>
    <w:rsid w:val="006C7E35"/>
    <w:rPr>
      <w:rFonts w:eastAsia="Times New Roman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DB6CE7"/>
    <w:rPr>
      <w:rFonts w:ascii="Arial" w:hAnsi="Arial"/>
      <w:sz w:val="32"/>
      <w:lang w:val="en-GB"/>
    </w:rPr>
  </w:style>
  <w:style w:type="paragraph" w:customStyle="1" w:styleId="CRCoverPage">
    <w:name w:val="CR Cover Page"/>
    <w:rsid w:val="007748ED"/>
    <w:pPr>
      <w:spacing w:after="120"/>
    </w:pPr>
    <w:rPr>
      <w:rFonts w:ascii="Arial" w:eastAsia="Times New Roman" w:hAnsi="Arial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156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1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6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1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1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97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6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2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3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3" Type="http://schemas.openxmlformats.org/officeDocument/2006/relationships/customXml" Target="../customXml/item2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customXml" Target="../customXml/item4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dd78157-346c-4767-bfdd-352789a5c5f1">
      <Terms xmlns="http://schemas.microsoft.com/office/infopath/2007/PartnerControls"/>
    </lcf76f155ced4ddcb4097134ff3c332f>
    <TaxCatchAll xmlns="509b81ee-eed5-4cc0-bd09-69f178c45f1e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7CD74E91CD4AF408185E1FC416F4AC4" ma:contentTypeVersion="16" ma:contentTypeDescription="Create a new document." ma:contentTypeScope="" ma:versionID="35444a6d0b978093ec3d10aaac28e829">
  <xsd:schema xmlns:xsd="http://www.w3.org/2001/XMLSchema" xmlns:xs="http://www.w3.org/2001/XMLSchema" xmlns:p="http://schemas.microsoft.com/office/2006/metadata/properties" xmlns:ns2="bdd78157-346c-4767-bfdd-352789a5c5f1" xmlns:ns3="878f5c59-aec9-459c-acf8-8cf941473193" xmlns:ns4="509b81ee-eed5-4cc0-bd09-69f178c45f1e" targetNamespace="http://schemas.microsoft.com/office/2006/metadata/properties" ma:root="true" ma:fieldsID="38e69b5332bf94f319692cb40a21a6cc" ns2:_="" ns3:_="" ns4:_="">
    <xsd:import namespace="bdd78157-346c-4767-bfdd-352789a5c5f1"/>
    <xsd:import namespace="878f5c59-aec9-459c-acf8-8cf941473193"/>
    <xsd:import namespace="509b81ee-eed5-4cc0-bd09-69f178c45f1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78157-346c-4767-bfdd-352789a5c5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1b4e610-9c4a-4944-b620-b446fb4a2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8f5c59-aec9-459c-acf8-8cf941473193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09b81ee-eed5-4cc0-bd09-69f178c45f1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45111d97-d7dd-44cf-882d-ec11c7502621}" ma:internalName="TaxCatchAll" ma:showField="CatchAllData" ma:web="878f5c59-aec9-459c-acf8-8cf94147319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E0B8DE3-FD5E-4CC7-B669-D1F10BD3FE2A}">
  <ds:schemaRefs>
    <ds:schemaRef ds:uri="http://schemas.microsoft.com/office/2006/metadata/properties"/>
    <ds:schemaRef ds:uri="http://schemas.microsoft.com/office/infopath/2007/PartnerControls"/>
    <ds:schemaRef ds:uri="bdd78157-346c-4767-bfdd-352789a5c5f1"/>
    <ds:schemaRef ds:uri="509b81ee-eed5-4cc0-bd09-69f178c45f1e"/>
  </ds:schemaRefs>
</ds:datastoreItem>
</file>

<file path=customXml/itemProps2.xml><?xml version="1.0" encoding="utf-8"?>
<ds:datastoreItem xmlns:ds="http://schemas.openxmlformats.org/officeDocument/2006/customXml" ds:itemID="{36D48CBB-0A87-4681-9AD9-0EB632BB742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75AF5C1-B235-4B9E-BB40-B7A6216F8F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dd78157-346c-4767-bfdd-352789a5c5f1"/>
    <ds:schemaRef ds:uri="878f5c59-aec9-459c-acf8-8cf941473193"/>
    <ds:schemaRef ds:uri="509b81ee-eed5-4cc0-bd09-69f178c45f1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318685B-8691-409E-8D6E-A8888F1FE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</TotalTime>
  <Pages>6</Pages>
  <Words>932</Words>
  <Characters>5411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Thorsten Hertel (KEYS)</dc:creator>
  <cp:keywords/>
  <dc:description/>
  <cp:lastModifiedBy>Thorsten Hertel (KEYS)</cp:lastModifiedBy>
  <cp:revision>239</cp:revision>
  <dcterms:created xsi:type="dcterms:W3CDTF">2020-05-26T02:02:00Z</dcterms:created>
  <dcterms:modified xsi:type="dcterms:W3CDTF">2023-05-15T18:23:00Z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0x01010017CD74E91CD4AF408185E1FC416F4AC4</vt:lpwstr>
  </property>
  <property fmtid="{D5CDD505-2E9C-101B-9397-08002B2CF9AE}" pid="3" name="MediaServiceImageTags">
    <vt:lpwstr/>
  </property>
</Properties>
</file>